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0948" w14:textId="77777777" w:rsidR="003B50C5" w:rsidRPr="00322E86" w:rsidRDefault="003B50C5">
      <w:pPr>
        <w:rPr>
          <w:rFonts w:asciiTheme="minorHAnsi" w:hAnsiTheme="minorHAnsi" w:cstheme="minorHAnsi"/>
          <w:b/>
          <w:bCs/>
          <w:lang w:val="nl-NL"/>
        </w:rPr>
      </w:pPr>
      <w:r w:rsidRPr="00322E86">
        <w:rPr>
          <w:rFonts w:asciiTheme="minorHAnsi" w:hAnsiTheme="minorHAnsi" w:cstheme="minorHAnsi"/>
          <w:b/>
          <w:bCs/>
          <w:lang w:val="nl-NL"/>
        </w:rPr>
        <w:t xml:space="preserve">Beleid </w:t>
      </w:r>
      <w:proofErr w:type="spellStart"/>
      <w:r w:rsidRPr="00322E86">
        <w:rPr>
          <w:rFonts w:asciiTheme="minorHAnsi" w:hAnsiTheme="minorHAnsi" w:cstheme="minorHAnsi"/>
          <w:b/>
          <w:bCs/>
          <w:lang w:val="nl-NL"/>
        </w:rPr>
        <w:t>therapeutic</w:t>
      </w:r>
      <w:proofErr w:type="spellEnd"/>
      <w:r w:rsidRPr="00322E86">
        <w:rPr>
          <w:rFonts w:asciiTheme="minorHAnsi" w:hAnsiTheme="minorHAnsi" w:cstheme="minorHAnsi"/>
          <w:b/>
          <w:bCs/>
          <w:lang w:val="nl-NL"/>
        </w:rPr>
        <w:t xml:space="preserve"> drug monitoring (TDM) van </w:t>
      </w:r>
      <w:proofErr w:type="spellStart"/>
      <w:r w:rsidRPr="00322E86">
        <w:rPr>
          <w:rFonts w:asciiTheme="minorHAnsi" w:hAnsiTheme="minorHAnsi" w:cstheme="minorHAnsi"/>
          <w:b/>
          <w:bCs/>
          <w:lang w:val="nl-NL"/>
        </w:rPr>
        <w:t>voriconazol</w:t>
      </w:r>
      <w:proofErr w:type="spellEnd"/>
    </w:p>
    <w:p w14:paraId="3301035F" w14:textId="1E9A3AE4" w:rsidR="003B50C5" w:rsidRDefault="003B50C5" w:rsidP="002B7186">
      <w:pPr>
        <w:pStyle w:val="Default"/>
        <w:rPr>
          <w:rFonts w:asciiTheme="minorHAnsi" w:hAnsiTheme="minorHAnsi" w:cstheme="minorHAnsi"/>
        </w:rPr>
      </w:pPr>
    </w:p>
    <w:p w14:paraId="1DD20AE8" w14:textId="77777777" w:rsidR="003B50C5" w:rsidRDefault="003B50C5" w:rsidP="002B7186">
      <w:pPr>
        <w:pStyle w:val="Default"/>
        <w:rPr>
          <w:rFonts w:asciiTheme="minorHAnsi" w:hAnsiTheme="minorHAnsi" w:cstheme="minorHAnsi"/>
        </w:rPr>
      </w:pPr>
    </w:p>
    <w:p w14:paraId="48EB22C9" w14:textId="77777777" w:rsidR="003B50C5" w:rsidRPr="00AF28FE" w:rsidRDefault="003B50C5" w:rsidP="002B718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F28FE">
        <w:rPr>
          <w:rFonts w:asciiTheme="minorHAnsi" w:hAnsiTheme="minorHAnsi" w:cstheme="minorHAnsi"/>
          <w:sz w:val="22"/>
          <w:szCs w:val="22"/>
        </w:rPr>
        <w:t>Auteurs:</w:t>
      </w:r>
    </w:p>
    <w:p w14:paraId="7FA25999" w14:textId="77777777" w:rsidR="003B50C5" w:rsidRPr="00AF28FE" w:rsidRDefault="003B50C5" w:rsidP="002B718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F28FE">
        <w:rPr>
          <w:rFonts w:asciiTheme="minorHAnsi" w:hAnsiTheme="minorHAnsi" w:cstheme="minorHAnsi"/>
          <w:sz w:val="22"/>
          <w:szCs w:val="22"/>
        </w:rPr>
        <w:t>Lisa Van de Wijer, PhD, AIOS interne geneeskunde</w:t>
      </w:r>
    </w:p>
    <w:p w14:paraId="125447F5" w14:textId="47DE3640" w:rsidR="003B50C5" w:rsidRPr="00AF28FE" w:rsidRDefault="003B50C5" w:rsidP="002B718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F28FE">
        <w:rPr>
          <w:rFonts w:asciiTheme="minorHAnsi" w:hAnsiTheme="minorHAnsi" w:cstheme="minorHAnsi"/>
          <w:sz w:val="22"/>
          <w:szCs w:val="22"/>
        </w:rPr>
        <w:t xml:space="preserve">Roger </w:t>
      </w:r>
      <w:proofErr w:type="spellStart"/>
      <w:r w:rsidRPr="00AF28FE">
        <w:rPr>
          <w:rFonts w:asciiTheme="minorHAnsi" w:hAnsiTheme="minorHAnsi" w:cstheme="minorHAnsi"/>
          <w:sz w:val="22"/>
          <w:szCs w:val="22"/>
        </w:rPr>
        <w:t>Brüggemann</w:t>
      </w:r>
      <w:proofErr w:type="spellEnd"/>
      <w:r w:rsidRPr="00AF28FE">
        <w:rPr>
          <w:rFonts w:asciiTheme="minorHAnsi" w:hAnsiTheme="minorHAnsi" w:cstheme="minorHAnsi"/>
          <w:sz w:val="22"/>
          <w:szCs w:val="22"/>
        </w:rPr>
        <w:t>, PhD, ziekenhuisapotheker</w:t>
      </w:r>
      <w:r w:rsidR="00E06697">
        <w:rPr>
          <w:rFonts w:asciiTheme="minorHAnsi" w:hAnsiTheme="minorHAnsi" w:cstheme="minorHAnsi"/>
          <w:sz w:val="22"/>
          <w:szCs w:val="22"/>
        </w:rPr>
        <w:t>-klinisch farmacoloog</w:t>
      </w:r>
    </w:p>
    <w:p w14:paraId="4A6EA5A0" w14:textId="6A29F172" w:rsidR="00AF28FE" w:rsidRPr="00E06697" w:rsidRDefault="00AF28FE" w:rsidP="002B718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F28FE">
        <w:rPr>
          <w:rFonts w:asciiTheme="minorHAnsi" w:hAnsiTheme="minorHAnsi" w:cstheme="minorHAnsi"/>
          <w:sz w:val="22"/>
          <w:szCs w:val="22"/>
        </w:rPr>
        <w:t>Nynke Jager, PhD, ziekenhuisapotheker</w:t>
      </w:r>
      <w:r w:rsidR="00E06697">
        <w:rPr>
          <w:rFonts w:asciiTheme="minorHAnsi" w:hAnsiTheme="minorHAnsi" w:cstheme="minorHAnsi"/>
          <w:sz w:val="22"/>
          <w:szCs w:val="22"/>
        </w:rPr>
        <w:t>-</w:t>
      </w:r>
      <w:r w:rsidR="00E06697" w:rsidRPr="00E06697">
        <w:rPr>
          <w:rFonts w:asciiTheme="minorHAnsi" w:hAnsiTheme="minorHAnsi" w:cstheme="minorHAnsi"/>
          <w:sz w:val="22"/>
          <w:szCs w:val="22"/>
        </w:rPr>
        <w:t xml:space="preserve"> </w:t>
      </w:r>
      <w:r w:rsidR="00E06697">
        <w:rPr>
          <w:rFonts w:asciiTheme="minorHAnsi" w:hAnsiTheme="minorHAnsi" w:cstheme="minorHAnsi"/>
          <w:sz w:val="22"/>
          <w:szCs w:val="22"/>
        </w:rPr>
        <w:t>klinisch farmacoloog</w:t>
      </w:r>
    </w:p>
    <w:p w14:paraId="465941C5" w14:textId="77777777" w:rsidR="003B50C5" w:rsidRPr="00322E86" w:rsidRDefault="003B50C5" w:rsidP="002B7186">
      <w:pPr>
        <w:pStyle w:val="Default"/>
        <w:rPr>
          <w:rFonts w:asciiTheme="minorHAnsi" w:hAnsiTheme="minorHAnsi" w:cstheme="minorHAnsi"/>
        </w:rPr>
      </w:pPr>
    </w:p>
    <w:p w14:paraId="693CEC25" w14:textId="63225ED4" w:rsidR="003B50C5" w:rsidRPr="00322E86" w:rsidRDefault="003B50C5" w:rsidP="002B718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22E86">
        <w:rPr>
          <w:rFonts w:asciiTheme="minorHAnsi" w:hAnsiTheme="minorHAnsi" w:cstheme="minorHAnsi"/>
        </w:rPr>
        <w:t>D</w:t>
      </w:r>
      <w:r w:rsidRPr="00322E86">
        <w:rPr>
          <w:rFonts w:asciiTheme="minorHAnsi" w:hAnsiTheme="minorHAnsi" w:cstheme="minorHAnsi"/>
          <w:sz w:val="22"/>
          <w:szCs w:val="22"/>
        </w:rPr>
        <w:t xml:space="preserve">it beleid is gebaseerd op de </w:t>
      </w:r>
      <w:hyperlink r:id="rId7" w:history="1">
        <w:r w:rsidRPr="00D0174E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TDM </w:t>
        </w:r>
        <w:r>
          <w:rPr>
            <w:rStyle w:val="Hyperlink"/>
            <w:rFonts w:asciiTheme="minorHAnsi" w:hAnsiTheme="minorHAnsi" w:cstheme="minorHAnsi"/>
            <w:sz w:val="22"/>
            <w:szCs w:val="22"/>
          </w:rPr>
          <w:t>M</w:t>
        </w:r>
        <w:r w:rsidRPr="00D0174E">
          <w:rPr>
            <w:rStyle w:val="Hyperlink"/>
            <w:rFonts w:asciiTheme="minorHAnsi" w:hAnsiTheme="minorHAnsi" w:cstheme="minorHAnsi"/>
            <w:sz w:val="22"/>
            <w:szCs w:val="22"/>
          </w:rPr>
          <w:t>onografie</w:t>
        </w:r>
      </w:hyperlink>
      <w:r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Style w:val="Hyperlink"/>
          <w:rFonts w:asciiTheme="minorHAnsi" w:hAnsiTheme="minorHAnsi" w:cstheme="minorHAnsi"/>
          <w:sz w:val="22"/>
          <w:szCs w:val="22"/>
        </w:rPr>
        <w:t>Voriconazol</w:t>
      </w:r>
      <w:proofErr w:type="spellEnd"/>
      <w:r w:rsidRPr="00322E86">
        <w:rPr>
          <w:rFonts w:asciiTheme="minorHAnsi" w:hAnsiTheme="minorHAnsi" w:cstheme="minorHAnsi"/>
          <w:sz w:val="22"/>
          <w:szCs w:val="22"/>
        </w:rPr>
        <w:t xml:space="preserve"> van de Nederlandse Vereniging voor </w:t>
      </w:r>
    </w:p>
    <w:p w14:paraId="613C2F84" w14:textId="6784E311" w:rsidR="003B50C5" w:rsidRPr="00322E86" w:rsidRDefault="003B50C5" w:rsidP="00D0174E">
      <w:pPr>
        <w:pStyle w:val="Default"/>
        <w:rPr>
          <w:rFonts w:asciiTheme="minorHAnsi" w:hAnsiTheme="minorHAnsi" w:cstheme="minorHAnsi"/>
        </w:rPr>
      </w:pPr>
      <w:r w:rsidRPr="00322E86">
        <w:rPr>
          <w:rFonts w:asciiTheme="minorHAnsi" w:hAnsiTheme="minorHAnsi" w:cstheme="minorHAnsi"/>
          <w:sz w:val="22"/>
          <w:szCs w:val="22"/>
        </w:rPr>
        <w:t>Ziekenhuisapothekers</w:t>
      </w:r>
      <w:r>
        <w:rPr>
          <w:rFonts w:asciiTheme="minorHAnsi" w:hAnsiTheme="minorHAnsi" w:cstheme="minorHAnsi"/>
          <w:sz w:val="22"/>
          <w:szCs w:val="22"/>
        </w:rPr>
        <w:t xml:space="preserve"> en op de </w:t>
      </w:r>
      <w:hyperlink r:id="rId8" w:history="1">
        <w:r w:rsidRPr="00D0174E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SWAB Richtlijn voor </w:t>
        </w:r>
        <w:r>
          <w:rPr>
            <w:rStyle w:val="Hyperlink"/>
            <w:rFonts w:asciiTheme="minorHAnsi" w:hAnsiTheme="minorHAnsi" w:cstheme="minorHAnsi"/>
            <w:sz w:val="22"/>
            <w:szCs w:val="22"/>
          </w:rPr>
          <w:t>I</w:t>
        </w:r>
        <w:r w:rsidRPr="00D0174E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nvasieve </w:t>
        </w:r>
        <w:r>
          <w:rPr>
            <w:rStyle w:val="Hyperlink"/>
            <w:rFonts w:asciiTheme="minorHAnsi" w:hAnsiTheme="minorHAnsi" w:cstheme="minorHAnsi"/>
            <w:sz w:val="22"/>
            <w:szCs w:val="22"/>
          </w:rPr>
          <w:t>S</w:t>
        </w:r>
        <w:r w:rsidRPr="00D0174E">
          <w:rPr>
            <w:rStyle w:val="Hyperlink"/>
            <w:rFonts w:asciiTheme="minorHAnsi" w:hAnsiTheme="minorHAnsi" w:cstheme="minorHAnsi"/>
            <w:sz w:val="22"/>
            <w:szCs w:val="22"/>
          </w:rPr>
          <w:t>chimmelinfecties (2017)</w:t>
        </w:r>
      </w:hyperlink>
      <w:r>
        <w:rPr>
          <w:rFonts w:asciiTheme="minorHAnsi" w:hAnsiTheme="minorHAnsi" w:cstheme="minorHAnsi"/>
          <w:sz w:val="22"/>
          <w:szCs w:val="22"/>
        </w:rPr>
        <w:t>.</w:t>
      </w:r>
    </w:p>
    <w:p w14:paraId="5CF7C041" w14:textId="77777777" w:rsidR="003B50C5" w:rsidRPr="00322E86" w:rsidRDefault="003B50C5" w:rsidP="002B7186">
      <w:pPr>
        <w:rPr>
          <w:rFonts w:asciiTheme="minorHAnsi" w:hAnsiTheme="minorHAnsi" w:cstheme="minorHAnsi"/>
          <w:lang w:val="nl-NL"/>
        </w:rPr>
      </w:pPr>
    </w:p>
    <w:p w14:paraId="27976DA2" w14:textId="77777777" w:rsidR="003B50C5" w:rsidRPr="00322E86" w:rsidRDefault="003B50C5" w:rsidP="002B7186">
      <w:pPr>
        <w:rPr>
          <w:rFonts w:asciiTheme="minorHAnsi" w:hAnsiTheme="minorHAnsi" w:cstheme="minorHAnsi"/>
          <w:sz w:val="28"/>
          <w:szCs w:val="28"/>
          <w:lang w:val="nl-NL"/>
        </w:rPr>
      </w:pPr>
      <w:r w:rsidRPr="00322E86">
        <w:rPr>
          <w:rFonts w:asciiTheme="minorHAnsi" w:hAnsiTheme="minorHAnsi" w:cstheme="minorHAnsi"/>
          <w:sz w:val="28"/>
          <w:szCs w:val="28"/>
          <w:lang w:val="nl-NL"/>
        </w:rPr>
        <w:t>Achtergrond</w:t>
      </w:r>
    </w:p>
    <w:p w14:paraId="7755A887" w14:textId="6C3EE060" w:rsidR="003B50C5" w:rsidRDefault="003B50C5" w:rsidP="002B7186">
      <w:pPr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lang w:val="nl-NL"/>
        </w:rPr>
        <w:t xml:space="preserve">In verband met de grote </w:t>
      </w:r>
      <w:proofErr w:type="spellStart"/>
      <w:r>
        <w:rPr>
          <w:rFonts w:asciiTheme="minorHAnsi" w:hAnsiTheme="minorHAnsi" w:cstheme="minorHAnsi"/>
          <w:lang w:val="nl-NL"/>
        </w:rPr>
        <w:t>inter</w:t>
      </w:r>
      <w:proofErr w:type="spellEnd"/>
      <w:r>
        <w:rPr>
          <w:rFonts w:asciiTheme="minorHAnsi" w:hAnsiTheme="minorHAnsi" w:cstheme="minorHAnsi"/>
          <w:lang w:val="nl-NL"/>
        </w:rPr>
        <w:t xml:space="preserve">- en </w:t>
      </w:r>
      <w:proofErr w:type="spellStart"/>
      <w:r>
        <w:rPr>
          <w:rFonts w:asciiTheme="minorHAnsi" w:hAnsiTheme="minorHAnsi" w:cstheme="minorHAnsi"/>
          <w:lang w:val="nl-NL"/>
        </w:rPr>
        <w:t>intraindividuele</w:t>
      </w:r>
      <w:proofErr w:type="spellEnd"/>
      <w:r>
        <w:rPr>
          <w:rFonts w:asciiTheme="minorHAnsi" w:hAnsiTheme="minorHAnsi" w:cstheme="minorHAnsi"/>
          <w:lang w:val="nl-NL"/>
        </w:rPr>
        <w:t xml:space="preserve"> variatie in </w:t>
      </w:r>
      <w:proofErr w:type="spellStart"/>
      <w:r>
        <w:rPr>
          <w:rFonts w:asciiTheme="minorHAnsi" w:hAnsiTheme="minorHAnsi" w:cstheme="minorHAnsi"/>
          <w:lang w:val="nl-NL"/>
        </w:rPr>
        <w:t>voriconazolspiegels</w:t>
      </w:r>
      <w:proofErr w:type="spellEnd"/>
      <w:r>
        <w:rPr>
          <w:rFonts w:asciiTheme="minorHAnsi" w:hAnsiTheme="minorHAnsi" w:cstheme="minorHAnsi"/>
          <w:lang w:val="nl-NL"/>
        </w:rPr>
        <w:t xml:space="preserve"> en de relatie tussen spiegels enerzijds en effect en toxiciteit </w:t>
      </w:r>
      <w:r w:rsidR="005C7340">
        <w:rPr>
          <w:rFonts w:asciiTheme="minorHAnsi" w:hAnsiTheme="minorHAnsi" w:cstheme="minorHAnsi"/>
          <w:lang w:val="nl-NL"/>
        </w:rPr>
        <w:t>wordt geadviseerd</w:t>
      </w:r>
      <w:r>
        <w:rPr>
          <w:rFonts w:asciiTheme="minorHAnsi" w:hAnsiTheme="minorHAnsi" w:cstheme="minorHAnsi"/>
          <w:lang w:val="nl-NL"/>
        </w:rPr>
        <w:t xml:space="preserve"> om bij alle patiënten die behandeld worden met </w:t>
      </w:r>
      <w:proofErr w:type="spellStart"/>
      <w:r>
        <w:rPr>
          <w:rFonts w:asciiTheme="minorHAnsi" w:hAnsiTheme="minorHAnsi" w:cstheme="minorHAnsi"/>
          <w:lang w:val="nl-NL"/>
        </w:rPr>
        <w:t>voriconazol</w:t>
      </w:r>
      <w:proofErr w:type="spellEnd"/>
      <w:r>
        <w:rPr>
          <w:rFonts w:asciiTheme="minorHAnsi" w:hAnsiTheme="minorHAnsi" w:cstheme="minorHAnsi"/>
          <w:lang w:val="nl-NL"/>
        </w:rPr>
        <w:t xml:space="preserve"> de dosering aan te passen aan de hand van </w:t>
      </w:r>
      <w:proofErr w:type="spellStart"/>
      <w:r>
        <w:rPr>
          <w:rFonts w:asciiTheme="minorHAnsi" w:hAnsiTheme="minorHAnsi" w:cstheme="minorHAnsi"/>
          <w:lang w:val="nl-NL"/>
        </w:rPr>
        <w:t>dalspiegels</w:t>
      </w:r>
      <w:proofErr w:type="spellEnd"/>
      <w:r>
        <w:rPr>
          <w:rFonts w:asciiTheme="minorHAnsi" w:hAnsiTheme="minorHAnsi" w:cstheme="minorHAnsi"/>
          <w:lang w:val="nl-NL"/>
        </w:rPr>
        <w:t>.</w:t>
      </w:r>
    </w:p>
    <w:p w14:paraId="2C2F4A97" w14:textId="77777777" w:rsidR="003B50C5" w:rsidRPr="00CD61A1" w:rsidRDefault="003B50C5" w:rsidP="002B7186">
      <w:pPr>
        <w:rPr>
          <w:rFonts w:asciiTheme="minorHAnsi" w:hAnsiTheme="minorHAnsi" w:cstheme="minorHAnsi"/>
          <w:lang w:val="nl-NL"/>
        </w:rPr>
      </w:pPr>
    </w:p>
    <w:p w14:paraId="2D4D4CF6" w14:textId="77777777" w:rsidR="003B50C5" w:rsidRPr="00322E86" w:rsidRDefault="003B50C5" w:rsidP="002B7186">
      <w:pPr>
        <w:rPr>
          <w:rFonts w:asciiTheme="minorHAnsi" w:hAnsiTheme="minorHAnsi" w:cstheme="minorHAnsi"/>
          <w:b/>
          <w:bCs/>
          <w:lang w:val="nl-NL"/>
        </w:rPr>
      </w:pPr>
      <w:r w:rsidRPr="00322E86">
        <w:rPr>
          <w:rFonts w:asciiTheme="minorHAnsi" w:hAnsiTheme="minorHAnsi" w:cstheme="minorHAnsi"/>
          <w:b/>
          <w:bCs/>
          <w:lang w:val="nl-NL"/>
        </w:rPr>
        <w:t>Spiegel-effect-relatie</w:t>
      </w:r>
    </w:p>
    <w:p w14:paraId="098E457F" w14:textId="02266952" w:rsidR="003B50C5" w:rsidRPr="00322E86" w:rsidRDefault="003B50C5" w:rsidP="002B7186">
      <w:pPr>
        <w:rPr>
          <w:rFonts w:asciiTheme="minorHAnsi" w:hAnsiTheme="minorHAnsi" w:cstheme="minorHAnsi"/>
          <w:lang w:val="nl-NL"/>
        </w:rPr>
      </w:pPr>
      <w:r w:rsidRPr="00322E86">
        <w:rPr>
          <w:rFonts w:asciiTheme="minorHAnsi" w:hAnsiTheme="minorHAnsi" w:cstheme="minorHAnsi"/>
          <w:lang w:val="nl-NL"/>
        </w:rPr>
        <w:t xml:space="preserve">De beste maat voor effectiviteit van </w:t>
      </w:r>
      <w:proofErr w:type="spellStart"/>
      <w:r w:rsidRPr="00322E86">
        <w:rPr>
          <w:rFonts w:asciiTheme="minorHAnsi" w:hAnsiTheme="minorHAnsi" w:cstheme="minorHAnsi"/>
          <w:lang w:val="nl-NL"/>
        </w:rPr>
        <w:t>voriconazol</w:t>
      </w:r>
      <w:proofErr w:type="spellEnd"/>
      <w:r w:rsidRPr="00322E86">
        <w:rPr>
          <w:rFonts w:asciiTheme="minorHAnsi" w:hAnsiTheme="minorHAnsi" w:cstheme="minorHAnsi"/>
          <w:lang w:val="nl-NL"/>
        </w:rPr>
        <w:t xml:space="preserve"> is de AUC/MIC ratio. In de praktijk wordt gebruik gemaakt van </w:t>
      </w:r>
      <w:proofErr w:type="spellStart"/>
      <w:r w:rsidRPr="00322E86">
        <w:rPr>
          <w:rFonts w:asciiTheme="minorHAnsi" w:hAnsiTheme="minorHAnsi" w:cstheme="minorHAnsi"/>
          <w:lang w:val="nl-NL"/>
        </w:rPr>
        <w:t>dalspiegels</w:t>
      </w:r>
      <w:proofErr w:type="spellEnd"/>
      <w:r w:rsidRPr="00322E86">
        <w:rPr>
          <w:rFonts w:asciiTheme="minorHAnsi" w:hAnsiTheme="minorHAnsi" w:cstheme="minorHAnsi"/>
          <w:lang w:val="nl-NL"/>
        </w:rPr>
        <w:t>, aangezien deze goede voorspellers van de AUC zijn.</w:t>
      </w:r>
      <w:r w:rsidRPr="00322E86">
        <w:rPr>
          <w:rFonts w:asciiTheme="minorHAnsi" w:hAnsiTheme="minorHAnsi" w:cstheme="minorHAnsi"/>
          <w:noProof/>
          <w:vertAlign w:val="superscript"/>
          <w:lang w:val="nl-NL"/>
        </w:rPr>
        <w:t xml:space="preserve"> 1</w:t>
      </w:r>
      <w:r w:rsidRPr="00322E86">
        <w:rPr>
          <w:rFonts w:asciiTheme="minorHAnsi" w:hAnsiTheme="minorHAnsi" w:cstheme="minorHAnsi"/>
          <w:lang w:val="nl-NL"/>
        </w:rPr>
        <w:t xml:space="preserve"> Er is een duidelijke relatie tussen effectiviteit en </w:t>
      </w:r>
      <w:proofErr w:type="spellStart"/>
      <w:r>
        <w:rPr>
          <w:rFonts w:asciiTheme="minorHAnsi" w:hAnsiTheme="minorHAnsi" w:cstheme="minorHAnsi"/>
          <w:lang w:val="nl-NL"/>
        </w:rPr>
        <w:t>voriconazol</w:t>
      </w:r>
      <w:proofErr w:type="spellEnd"/>
      <w:r w:rsidRPr="00322E86">
        <w:rPr>
          <w:rFonts w:asciiTheme="minorHAnsi" w:hAnsiTheme="minorHAnsi" w:cstheme="minorHAnsi"/>
          <w:lang w:val="nl-NL"/>
        </w:rPr>
        <w:t xml:space="preserve"> plasma concentraties bij zowel kinderen als volwassenen.</w:t>
      </w:r>
      <w:r w:rsidRPr="00322E86">
        <w:rPr>
          <w:rFonts w:asciiTheme="minorHAnsi" w:hAnsiTheme="minorHAnsi" w:cstheme="minorHAnsi"/>
          <w:noProof/>
          <w:vertAlign w:val="superscript"/>
          <w:lang w:val="nl-NL"/>
        </w:rPr>
        <w:t xml:space="preserve"> 2-7</w:t>
      </w:r>
      <w:r w:rsidRPr="00322E86">
        <w:rPr>
          <w:rFonts w:asciiTheme="minorHAnsi" w:hAnsiTheme="minorHAnsi" w:cstheme="minorHAnsi"/>
          <w:lang w:val="nl-NL"/>
        </w:rPr>
        <w:t xml:space="preserve"> Hierbij worden voor algemene therapie incl</w:t>
      </w:r>
      <w:r>
        <w:rPr>
          <w:rFonts w:asciiTheme="minorHAnsi" w:hAnsiTheme="minorHAnsi" w:cstheme="minorHAnsi"/>
          <w:lang w:val="nl-NL"/>
        </w:rPr>
        <w:t>usief</w:t>
      </w:r>
      <w:r w:rsidRPr="00322E86">
        <w:rPr>
          <w:rFonts w:asciiTheme="minorHAnsi" w:hAnsiTheme="minorHAnsi" w:cstheme="minorHAnsi"/>
          <w:lang w:val="nl-NL"/>
        </w:rPr>
        <w:t xml:space="preserve"> profylaxe streefwaardes</w:t>
      </w:r>
      <w:r w:rsidR="00C30D98">
        <w:rPr>
          <w:rFonts w:asciiTheme="minorHAnsi" w:hAnsiTheme="minorHAnsi" w:cstheme="minorHAnsi"/>
          <w:lang w:val="nl-NL"/>
        </w:rPr>
        <w:t xml:space="preserve"> van </w:t>
      </w:r>
      <w:r w:rsidR="003E3501">
        <w:rPr>
          <w:rFonts w:asciiTheme="minorHAnsi" w:hAnsiTheme="minorHAnsi" w:cstheme="minorHAnsi"/>
          <w:lang w:val="nl-NL"/>
        </w:rPr>
        <w:t>&gt;</w:t>
      </w:r>
      <w:r w:rsidR="00C30D98">
        <w:rPr>
          <w:rFonts w:asciiTheme="minorHAnsi" w:hAnsiTheme="minorHAnsi" w:cstheme="minorHAnsi"/>
          <w:lang w:val="nl-NL"/>
        </w:rPr>
        <w:t xml:space="preserve">1-2 mg/L voor de </w:t>
      </w:r>
      <w:proofErr w:type="spellStart"/>
      <w:r w:rsidR="00C30D98">
        <w:rPr>
          <w:rFonts w:asciiTheme="minorHAnsi" w:hAnsiTheme="minorHAnsi" w:cstheme="minorHAnsi"/>
          <w:lang w:val="nl-NL"/>
        </w:rPr>
        <w:t>dalspiegel</w:t>
      </w:r>
      <w:proofErr w:type="spellEnd"/>
      <w:r w:rsidR="00C30D98">
        <w:rPr>
          <w:rFonts w:asciiTheme="minorHAnsi" w:hAnsiTheme="minorHAnsi" w:cstheme="minorHAnsi"/>
          <w:lang w:val="nl-NL"/>
        </w:rPr>
        <w:t xml:space="preserve"> aangehouden, en</w:t>
      </w:r>
      <w:r w:rsidRPr="00322E86">
        <w:rPr>
          <w:rFonts w:asciiTheme="minorHAnsi" w:hAnsiTheme="minorHAnsi" w:cstheme="minorHAnsi"/>
          <w:lang w:val="nl-NL"/>
        </w:rPr>
        <w:t xml:space="preserve"> bij gedissemineerde ziekte, moeilijk </w:t>
      </w:r>
      <w:proofErr w:type="spellStart"/>
      <w:r w:rsidRPr="00322E86">
        <w:rPr>
          <w:rFonts w:asciiTheme="minorHAnsi" w:hAnsiTheme="minorHAnsi" w:cstheme="minorHAnsi"/>
          <w:lang w:val="nl-NL"/>
        </w:rPr>
        <w:t>penetrabele</w:t>
      </w:r>
      <w:proofErr w:type="spellEnd"/>
      <w:r w:rsidRPr="00322E86">
        <w:rPr>
          <w:rFonts w:asciiTheme="minorHAnsi" w:hAnsiTheme="minorHAnsi" w:cstheme="minorHAnsi"/>
          <w:lang w:val="nl-NL"/>
        </w:rPr>
        <w:t xml:space="preserve"> gebieden (centraal zenuwstelsel)</w:t>
      </w:r>
      <w:r>
        <w:rPr>
          <w:rFonts w:asciiTheme="minorHAnsi" w:hAnsiTheme="minorHAnsi" w:cstheme="minorHAnsi"/>
          <w:lang w:val="nl-NL"/>
        </w:rPr>
        <w:t xml:space="preserve"> en</w:t>
      </w:r>
      <w:r w:rsidRPr="00322E86">
        <w:rPr>
          <w:rFonts w:asciiTheme="minorHAnsi" w:hAnsiTheme="minorHAnsi" w:cstheme="minorHAnsi"/>
          <w:lang w:val="nl-NL"/>
        </w:rPr>
        <w:t xml:space="preserve"> pathogenen met een verhoogde MIC (≥2mg/L) streefwaardes van </w:t>
      </w:r>
      <w:r w:rsidR="00C30D98">
        <w:rPr>
          <w:rFonts w:asciiTheme="minorHAnsi" w:hAnsiTheme="minorHAnsi" w:cstheme="minorHAnsi"/>
          <w:lang w:val="nl-NL"/>
        </w:rPr>
        <w:t>&gt;</w:t>
      </w:r>
      <w:r w:rsidRPr="00322E86">
        <w:rPr>
          <w:rFonts w:asciiTheme="minorHAnsi" w:hAnsiTheme="minorHAnsi" w:cstheme="minorHAnsi"/>
          <w:lang w:val="nl-NL"/>
        </w:rPr>
        <w:t>2</w:t>
      </w:r>
      <w:r w:rsidR="00C30D98">
        <w:rPr>
          <w:rFonts w:asciiTheme="minorHAnsi" w:hAnsiTheme="minorHAnsi" w:cstheme="minorHAnsi"/>
          <w:lang w:val="nl-NL"/>
        </w:rPr>
        <w:t xml:space="preserve"> mg/L</w:t>
      </w:r>
      <w:r w:rsidRPr="00322E86">
        <w:rPr>
          <w:rFonts w:asciiTheme="minorHAnsi" w:hAnsiTheme="minorHAnsi" w:cstheme="minorHAnsi"/>
          <w:lang w:val="nl-NL"/>
        </w:rPr>
        <w:t>.</w:t>
      </w:r>
      <w:r w:rsidRPr="00322E86">
        <w:rPr>
          <w:rFonts w:asciiTheme="minorHAnsi" w:hAnsiTheme="minorHAnsi" w:cstheme="minorHAnsi"/>
          <w:noProof/>
          <w:vertAlign w:val="superscript"/>
          <w:lang w:val="nl-NL"/>
        </w:rPr>
        <w:t xml:space="preserve"> 8</w:t>
      </w:r>
    </w:p>
    <w:p w14:paraId="320CE198" w14:textId="77777777" w:rsidR="003B50C5" w:rsidRPr="00322E86" w:rsidRDefault="003B50C5" w:rsidP="002B7186">
      <w:pPr>
        <w:rPr>
          <w:rFonts w:asciiTheme="minorHAnsi" w:hAnsiTheme="minorHAnsi" w:cstheme="minorHAnsi"/>
          <w:lang w:val="nl-NL"/>
        </w:rPr>
      </w:pPr>
    </w:p>
    <w:p w14:paraId="3337507F" w14:textId="77777777" w:rsidR="003B50C5" w:rsidRPr="00322E86" w:rsidRDefault="003B50C5" w:rsidP="002B7186">
      <w:pPr>
        <w:rPr>
          <w:rFonts w:asciiTheme="minorHAnsi" w:hAnsiTheme="minorHAnsi" w:cstheme="minorHAnsi"/>
          <w:b/>
          <w:bCs/>
          <w:lang w:val="nl-NL"/>
        </w:rPr>
      </w:pPr>
      <w:r w:rsidRPr="00322E86">
        <w:rPr>
          <w:rFonts w:asciiTheme="minorHAnsi" w:hAnsiTheme="minorHAnsi" w:cstheme="minorHAnsi"/>
          <w:b/>
          <w:bCs/>
          <w:lang w:val="nl-NL"/>
        </w:rPr>
        <w:t>Spiegel-toxiciteit-relatie</w:t>
      </w:r>
    </w:p>
    <w:p w14:paraId="6C17EE87" w14:textId="77777777" w:rsidR="003B50C5" w:rsidRDefault="003B50C5" w:rsidP="002B7186">
      <w:pPr>
        <w:rPr>
          <w:rFonts w:asciiTheme="minorHAnsi" w:hAnsiTheme="minorHAnsi" w:cstheme="minorHAnsi"/>
          <w:lang w:val="nl-NL"/>
        </w:rPr>
      </w:pPr>
      <w:r w:rsidRPr="00322E86">
        <w:rPr>
          <w:rFonts w:asciiTheme="minorHAnsi" w:hAnsiTheme="minorHAnsi" w:cstheme="minorHAnsi"/>
          <w:lang w:val="nl-NL"/>
        </w:rPr>
        <w:t xml:space="preserve">Hoge </w:t>
      </w:r>
      <w:proofErr w:type="spellStart"/>
      <w:r w:rsidRPr="00322E86">
        <w:rPr>
          <w:rFonts w:asciiTheme="minorHAnsi" w:hAnsiTheme="minorHAnsi" w:cstheme="minorHAnsi"/>
          <w:lang w:val="nl-NL"/>
        </w:rPr>
        <w:t>voriconazolspiegels</w:t>
      </w:r>
      <w:proofErr w:type="spellEnd"/>
      <w:r w:rsidRPr="00322E86">
        <w:rPr>
          <w:rFonts w:asciiTheme="minorHAnsi" w:hAnsiTheme="minorHAnsi" w:cstheme="minorHAnsi"/>
          <w:lang w:val="nl-NL"/>
        </w:rPr>
        <w:t xml:space="preserve"> (&gt;4-6 mg/L) zijn geassocieerd met centraal zenuwstelsel bijwerkingen zoals hallucinaties en veranderingen in kleurperceptie.</w:t>
      </w:r>
      <w:r w:rsidRPr="00322E86">
        <w:rPr>
          <w:rFonts w:asciiTheme="minorHAnsi" w:hAnsiTheme="minorHAnsi" w:cstheme="minorHAnsi"/>
          <w:noProof/>
          <w:vertAlign w:val="superscript"/>
          <w:lang w:val="nl-NL"/>
        </w:rPr>
        <w:t xml:space="preserve"> 9,10</w:t>
      </w:r>
      <w:r w:rsidRPr="00322E86">
        <w:rPr>
          <w:rFonts w:asciiTheme="minorHAnsi" w:hAnsiTheme="minorHAnsi" w:cstheme="minorHAnsi"/>
          <w:lang w:val="nl-NL"/>
        </w:rPr>
        <w:t xml:space="preserve"> Deze bijwerkingen verdwijnen veelal binnen 2-7 dagen en hoeven niet te leiden tot onderbreking van de therapie. </w:t>
      </w:r>
    </w:p>
    <w:p w14:paraId="6D269B70" w14:textId="77777777" w:rsidR="003B50C5" w:rsidRDefault="003B50C5" w:rsidP="002B7186">
      <w:pPr>
        <w:rPr>
          <w:rFonts w:asciiTheme="minorHAnsi" w:hAnsiTheme="minorHAnsi" w:cstheme="minorHAnsi"/>
          <w:lang w:val="nl-NL"/>
        </w:rPr>
      </w:pPr>
    </w:p>
    <w:p w14:paraId="7D261530" w14:textId="34698817" w:rsidR="003B50C5" w:rsidRPr="00A20A38" w:rsidRDefault="003B50C5" w:rsidP="00A20A38">
      <w:pPr>
        <w:rPr>
          <w:rFonts w:asciiTheme="minorHAnsi" w:hAnsiTheme="minorHAnsi" w:cstheme="minorHAnsi"/>
          <w:sz w:val="24"/>
          <w:szCs w:val="24"/>
          <w:lang w:val="nl-NL"/>
        </w:rPr>
      </w:pPr>
      <w:proofErr w:type="spellStart"/>
      <w:r>
        <w:rPr>
          <w:rFonts w:asciiTheme="minorHAnsi" w:hAnsiTheme="minorHAnsi" w:cstheme="minorHAnsi"/>
          <w:lang w:val="nl-NL"/>
        </w:rPr>
        <w:t>Voriconazol</w:t>
      </w:r>
      <w:proofErr w:type="spellEnd"/>
      <w:r>
        <w:rPr>
          <w:rFonts w:asciiTheme="minorHAnsi" w:hAnsiTheme="minorHAnsi" w:cstheme="minorHAnsi"/>
          <w:lang w:val="nl-NL"/>
        </w:rPr>
        <w:t xml:space="preserve"> kan zelf ook leiden tot </w:t>
      </w:r>
      <w:proofErr w:type="spellStart"/>
      <w:r>
        <w:rPr>
          <w:rFonts w:asciiTheme="minorHAnsi" w:hAnsiTheme="minorHAnsi" w:cstheme="minorHAnsi"/>
          <w:lang w:val="nl-NL"/>
        </w:rPr>
        <w:t>hepatoxiciteit</w:t>
      </w:r>
      <w:proofErr w:type="spellEnd"/>
      <w:r>
        <w:rPr>
          <w:rFonts w:asciiTheme="minorHAnsi" w:hAnsiTheme="minorHAnsi" w:cstheme="minorHAnsi"/>
          <w:lang w:val="nl-NL"/>
        </w:rPr>
        <w:t xml:space="preserve">. </w:t>
      </w:r>
      <w:r w:rsidRPr="00322E86">
        <w:rPr>
          <w:rFonts w:asciiTheme="minorHAnsi" w:hAnsiTheme="minorHAnsi" w:cstheme="minorHAnsi"/>
          <w:lang w:val="nl-NL"/>
        </w:rPr>
        <w:t xml:space="preserve">De kans hierop neemt toe bij hogere </w:t>
      </w:r>
      <w:r w:rsidR="00881598">
        <w:rPr>
          <w:rFonts w:asciiTheme="minorHAnsi" w:hAnsiTheme="minorHAnsi" w:cstheme="minorHAnsi"/>
          <w:lang w:val="nl-NL"/>
        </w:rPr>
        <w:t>blootstelling</w:t>
      </w:r>
      <w:r w:rsidRPr="00322E86">
        <w:rPr>
          <w:rFonts w:asciiTheme="minorHAnsi" w:hAnsiTheme="minorHAnsi" w:cstheme="minorHAnsi"/>
          <w:lang w:val="nl-NL"/>
        </w:rPr>
        <w:t>, alhoewel hier geen duidelijk afkappunt bestaat.</w:t>
      </w:r>
      <w:r w:rsidRPr="00A20A38">
        <w:rPr>
          <w:rFonts w:asciiTheme="minorHAnsi" w:hAnsiTheme="minorHAnsi" w:cstheme="minorHAnsi"/>
          <w:noProof/>
          <w:vertAlign w:val="superscript"/>
          <w:lang w:val="nl-NL"/>
        </w:rPr>
        <w:t xml:space="preserve"> 11,12</w:t>
      </w:r>
      <w:r>
        <w:rPr>
          <w:rFonts w:asciiTheme="minorHAnsi" w:hAnsiTheme="minorHAnsi" w:cstheme="minorHAnsi"/>
          <w:sz w:val="24"/>
          <w:szCs w:val="24"/>
          <w:lang w:val="nl-NL"/>
        </w:rPr>
        <w:t xml:space="preserve"> </w:t>
      </w:r>
      <w:r>
        <w:rPr>
          <w:rFonts w:asciiTheme="minorHAnsi" w:hAnsiTheme="minorHAnsi" w:cstheme="minorHAnsi"/>
          <w:lang w:val="nl-NL"/>
        </w:rPr>
        <w:t xml:space="preserve">Deze leverpanelafwijkingen zijn normaalgesproken reversibel na dosisreductie of staken van </w:t>
      </w:r>
      <w:proofErr w:type="spellStart"/>
      <w:r>
        <w:rPr>
          <w:rFonts w:asciiTheme="minorHAnsi" w:hAnsiTheme="minorHAnsi" w:cstheme="minorHAnsi"/>
          <w:lang w:val="nl-NL"/>
        </w:rPr>
        <w:t>voriconazol</w:t>
      </w:r>
      <w:proofErr w:type="spellEnd"/>
      <w:r>
        <w:rPr>
          <w:rFonts w:asciiTheme="minorHAnsi" w:hAnsiTheme="minorHAnsi" w:cstheme="minorHAnsi"/>
          <w:lang w:val="nl-NL"/>
        </w:rPr>
        <w:t>.</w:t>
      </w:r>
      <w:r w:rsidRPr="00A20A38">
        <w:rPr>
          <w:rFonts w:asciiTheme="minorHAnsi" w:hAnsiTheme="minorHAnsi" w:cstheme="minorHAnsi"/>
          <w:noProof/>
          <w:vertAlign w:val="superscript"/>
          <w:lang w:val="nl-NL"/>
        </w:rPr>
        <w:t xml:space="preserve"> 13</w:t>
      </w:r>
      <w:r>
        <w:rPr>
          <w:rFonts w:asciiTheme="minorHAnsi" w:hAnsiTheme="minorHAnsi" w:cstheme="minorHAnsi"/>
          <w:lang w:val="nl-NL"/>
        </w:rPr>
        <w:t xml:space="preserve"> Bij verdenking op </w:t>
      </w:r>
      <w:proofErr w:type="spellStart"/>
      <w:r>
        <w:rPr>
          <w:rFonts w:asciiTheme="minorHAnsi" w:hAnsiTheme="minorHAnsi" w:cstheme="minorHAnsi"/>
          <w:lang w:val="nl-NL"/>
        </w:rPr>
        <w:t>voriconazolgerelateerde</w:t>
      </w:r>
      <w:proofErr w:type="spellEnd"/>
      <w:r>
        <w:rPr>
          <w:rFonts w:asciiTheme="minorHAnsi" w:hAnsiTheme="minorHAnsi" w:cstheme="minorHAnsi"/>
          <w:lang w:val="nl-NL"/>
        </w:rPr>
        <w:t xml:space="preserve"> </w:t>
      </w:r>
      <w:proofErr w:type="spellStart"/>
      <w:r>
        <w:rPr>
          <w:rFonts w:asciiTheme="minorHAnsi" w:hAnsiTheme="minorHAnsi" w:cstheme="minorHAnsi"/>
          <w:lang w:val="nl-NL"/>
        </w:rPr>
        <w:t>hepatotoxiciteit</w:t>
      </w:r>
      <w:proofErr w:type="spellEnd"/>
      <w:r>
        <w:rPr>
          <w:rFonts w:asciiTheme="minorHAnsi" w:hAnsiTheme="minorHAnsi" w:cstheme="minorHAnsi"/>
          <w:lang w:val="nl-NL"/>
        </w:rPr>
        <w:t xml:space="preserve"> dient overleg plaats te vinden met de ziekenhuisapotheker. </w:t>
      </w:r>
    </w:p>
    <w:p w14:paraId="3907DC3B" w14:textId="77777777" w:rsidR="003B50C5" w:rsidRPr="00322E86" w:rsidRDefault="003B50C5" w:rsidP="002B7186">
      <w:pPr>
        <w:rPr>
          <w:rFonts w:asciiTheme="minorHAnsi" w:hAnsiTheme="minorHAnsi" w:cstheme="minorHAnsi"/>
          <w:lang w:val="nl-NL"/>
        </w:rPr>
      </w:pPr>
    </w:p>
    <w:p w14:paraId="7D989EC5" w14:textId="77777777" w:rsidR="003B50C5" w:rsidRPr="00322E86" w:rsidRDefault="003B50C5" w:rsidP="002B7186">
      <w:pPr>
        <w:rPr>
          <w:rFonts w:asciiTheme="minorHAnsi" w:hAnsiTheme="minorHAnsi" w:cstheme="minorHAnsi"/>
          <w:b/>
          <w:bCs/>
          <w:lang w:val="nl-NL"/>
        </w:rPr>
      </w:pPr>
      <w:r w:rsidRPr="00322E86">
        <w:rPr>
          <w:rFonts w:asciiTheme="minorHAnsi" w:hAnsiTheme="minorHAnsi" w:cstheme="minorHAnsi"/>
          <w:b/>
          <w:bCs/>
          <w:lang w:val="nl-NL"/>
        </w:rPr>
        <w:t xml:space="preserve">Instructies </w:t>
      </w:r>
      <w:proofErr w:type="spellStart"/>
      <w:r w:rsidRPr="00322E86">
        <w:rPr>
          <w:rFonts w:asciiTheme="minorHAnsi" w:hAnsiTheme="minorHAnsi" w:cstheme="minorHAnsi"/>
          <w:b/>
          <w:bCs/>
          <w:lang w:val="nl-NL"/>
        </w:rPr>
        <w:t>labafname</w:t>
      </w:r>
      <w:proofErr w:type="spellEnd"/>
    </w:p>
    <w:p w14:paraId="318E48AC" w14:textId="58A869AE" w:rsidR="003B50C5" w:rsidRPr="00322E86" w:rsidRDefault="003B50C5" w:rsidP="003B50C5">
      <w:pPr>
        <w:rPr>
          <w:rFonts w:asciiTheme="minorHAnsi" w:hAnsiTheme="minorHAnsi" w:cstheme="minorHAnsi"/>
          <w:lang w:val="nl-NL"/>
        </w:rPr>
      </w:pPr>
      <w:r w:rsidRPr="00322E86">
        <w:rPr>
          <w:rFonts w:asciiTheme="minorHAnsi" w:hAnsiTheme="minorHAnsi" w:cstheme="minorHAnsi"/>
          <w:lang w:val="nl-NL"/>
        </w:rPr>
        <w:t xml:space="preserve">Zie </w:t>
      </w:r>
      <w:hyperlink r:id="rId9" w:history="1">
        <w:proofErr w:type="spellStart"/>
        <w:r w:rsidR="007A3544">
          <w:rPr>
            <w:rStyle w:val="Hyperlink"/>
            <w:rFonts w:asciiTheme="minorHAnsi" w:hAnsiTheme="minorHAnsi" w:cstheme="minorHAnsi"/>
            <w:lang w:val="nl-NL"/>
          </w:rPr>
          <w:t>eL</w:t>
        </w:r>
        <w:r w:rsidRPr="00322E86">
          <w:rPr>
            <w:rStyle w:val="Hyperlink"/>
            <w:rFonts w:asciiTheme="minorHAnsi" w:hAnsiTheme="minorHAnsi" w:cstheme="minorHAnsi"/>
            <w:lang w:val="nl-NL"/>
          </w:rPr>
          <w:t>abgids</w:t>
        </w:r>
        <w:proofErr w:type="spellEnd"/>
        <w:r w:rsidRPr="00322E86">
          <w:rPr>
            <w:rStyle w:val="Hyperlink"/>
            <w:rFonts w:asciiTheme="minorHAnsi" w:hAnsiTheme="minorHAnsi" w:cstheme="minorHAnsi"/>
            <w:lang w:val="nl-NL"/>
          </w:rPr>
          <w:t xml:space="preserve"> </w:t>
        </w:r>
        <w:proofErr w:type="spellStart"/>
        <w:r w:rsidRPr="00322E86">
          <w:rPr>
            <w:rStyle w:val="Hyperlink"/>
            <w:rFonts w:asciiTheme="minorHAnsi" w:hAnsiTheme="minorHAnsi" w:cstheme="minorHAnsi"/>
            <w:lang w:val="nl-NL"/>
          </w:rPr>
          <w:t>Voriconazol</w:t>
        </w:r>
        <w:proofErr w:type="spellEnd"/>
      </w:hyperlink>
    </w:p>
    <w:p w14:paraId="3A86CE8B" w14:textId="77777777" w:rsidR="003B50C5" w:rsidRPr="00322E86" w:rsidRDefault="003B50C5" w:rsidP="003B50C5">
      <w:pPr>
        <w:rPr>
          <w:rFonts w:asciiTheme="minorHAnsi" w:hAnsiTheme="minorHAnsi" w:cstheme="minorHAnsi"/>
          <w:lang w:val="nl-NL"/>
        </w:rPr>
      </w:pPr>
      <w:proofErr w:type="spellStart"/>
      <w:r w:rsidRPr="00322E86">
        <w:rPr>
          <w:rFonts w:asciiTheme="minorHAnsi" w:hAnsiTheme="minorHAnsi" w:cstheme="minorHAnsi"/>
          <w:lang w:val="nl-NL"/>
        </w:rPr>
        <w:t>Dalspiegel</w:t>
      </w:r>
      <w:proofErr w:type="spellEnd"/>
      <w:r w:rsidRPr="00322E86">
        <w:rPr>
          <w:rFonts w:asciiTheme="minorHAnsi" w:hAnsiTheme="minorHAnsi" w:cstheme="minorHAnsi"/>
          <w:lang w:val="nl-NL"/>
        </w:rPr>
        <w:t>=vlak voor nieuwe gift</w:t>
      </w:r>
    </w:p>
    <w:p w14:paraId="2FB501C4" w14:textId="79FB2C1F" w:rsidR="003B50C5" w:rsidRDefault="003B50C5" w:rsidP="002B7186">
      <w:pPr>
        <w:rPr>
          <w:rFonts w:asciiTheme="minorHAnsi" w:hAnsiTheme="minorHAnsi" w:cstheme="minorHAnsi"/>
          <w:lang w:val="nl-NL"/>
        </w:rPr>
      </w:pPr>
    </w:p>
    <w:p w14:paraId="284E5ABF" w14:textId="77777777" w:rsidR="00242092" w:rsidRDefault="00242092" w:rsidP="00242092">
      <w:pPr>
        <w:rPr>
          <w:rFonts w:asciiTheme="minorHAnsi" w:hAnsiTheme="minorHAnsi" w:cstheme="minorHAnsi"/>
          <w:sz w:val="28"/>
          <w:szCs w:val="28"/>
          <w:lang w:val="nl-NL"/>
        </w:rPr>
      </w:pPr>
      <w:r w:rsidRPr="00637535">
        <w:rPr>
          <w:rFonts w:asciiTheme="minorHAnsi" w:hAnsiTheme="minorHAnsi" w:cstheme="minorHAnsi"/>
          <w:sz w:val="28"/>
          <w:szCs w:val="28"/>
          <w:lang w:val="nl-NL"/>
        </w:rPr>
        <w:t>Afnamemomenten</w:t>
      </w:r>
    </w:p>
    <w:p w14:paraId="60FC1F03" w14:textId="192E0821" w:rsidR="00242092" w:rsidRPr="00CD61A1" w:rsidRDefault="00242092" w:rsidP="00242092">
      <w:pPr>
        <w:rPr>
          <w:rFonts w:asciiTheme="minorHAnsi" w:hAnsiTheme="minorHAnsi" w:cstheme="minorHAnsi"/>
          <w:sz w:val="28"/>
          <w:szCs w:val="28"/>
          <w:lang w:val="nl-NL"/>
        </w:rPr>
      </w:pPr>
      <w:r>
        <w:rPr>
          <w:rFonts w:asciiTheme="minorHAnsi" w:hAnsiTheme="minorHAnsi" w:cstheme="minorHAnsi"/>
          <w:lang w:val="nl-NL"/>
        </w:rPr>
        <w:t xml:space="preserve">Bepaal twee tot drie dagen na start met </w:t>
      </w:r>
      <w:proofErr w:type="spellStart"/>
      <w:r>
        <w:rPr>
          <w:rFonts w:asciiTheme="minorHAnsi" w:hAnsiTheme="minorHAnsi" w:cstheme="minorHAnsi"/>
          <w:lang w:val="nl-NL"/>
        </w:rPr>
        <w:t>voriconazol</w:t>
      </w:r>
      <w:proofErr w:type="spellEnd"/>
      <w:r>
        <w:rPr>
          <w:rFonts w:asciiTheme="minorHAnsi" w:hAnsiTheme="minorHAnsi" w:cstheme="minorHAnsi"/>
          <w:lang w:val="nl-NL"/>
        </w:rPr>
        <w:t xml:space="preserve"> een </w:t>
      </w:r>
      <w:proofErr w:type="spellStart"/>
      <w:r>
        <w:rPr>
          <w:rFonts w:asciiTheme="minorHAnsi" w:hAnsiTheme="minorHAnsi" w:cstheme="minorHAnsi"/>
          <w:lang w:val="nl-NL"/>
        </w:rPr>
        <w:t>dalspiegel</w:t>
      </w:r>
      <w:proofErr w:type="spellEnd"/>
      <w:r>
        <w:rPr>
          <w:rFonts w:asciiTheme="minorHAnsi" w:hAnsiTheme="minorHAnsi" w:cstheme="minorHAnsi"/>
          <w:lang w:val="nl-NL"/>
        </w:rPr>
        <w:t xml:space="preserve">. Gezien de hoge intra-individuele variabiliteit adviseren wij om bij klinische patiënten gedurende de gehele therapieduur </w:t>
      </w:r>
      <w:r w:rsidR="00CE77FA">
        <w:rPr>
          <w:rFonts w:asciiTheme="minorHAnsi" w:hAnsiTheme="minorHAnsi" w:cstheme="minorHAnsi"/>
          <w:lang w:val="nl-NL"/>
        </w:rPr>
        <w:t>~eenmaal</w:t>
      </w:r>
      <w:r>
        <w:rPr>
          <w:rFonts w:asciiTheme="minorHAnsi" w:hAnsiTheme="minorHAnsi" w:cstheme="minorHAnsi"/>
          <w:lang w:val="nl-NL"/>
        </w:rPr>
        <w:t xml:space="preserve"> per week </w:t>
      </w:r>
      <w:proofErr w:type="spellStart"/>
      <w:r>
        <w:rPr>
          <w:rFonts w:asciiTheme="minorHAnsi" w:hAnsiTheme="minorHAnsi" w:cstheme="minorHAnsi"/>
          <w:lang w:val="nl-NL"/>
        </w:rPr>
        <w:t>dalspiegels</w:t>
      </w:r>
      <w:proofErr w:type="spellEnd"/>
      <w:r>
        <w:rPr>
          <w:rFonts w:asciiTheme="minorHAnsi" w:hAnsiTheme="minorHAnsi" w:cstheme="minorHAnsi"/>
          <w:lang w:val="nl-NL"/>
        </w:rPr>
        <w:t xml:space="preserve"> te blijven bepalen. Bij poliklinische patiënten met stabiele concentraties volstaat een minder frequent regime.</w:t>
      </w:r>
    </w:p>
    <w:p w14:paraId="33D8915B" w14:textId="77777777" w:rsidR="00242092" w:rsidRPr="00B50D73" w:rsidRDefault="00242092" w:rsidP="002B7186">
      <w:pPr>
        <w:rPr>
          <w:rFonts w:asciiTheme="minorHAnsi" w:hAnsiTheme="minorHAnsi" w:cstheme="minorHAnsi"/>
          <w:sz w:val="28"/>
          <w:szCs w:val="28"/>
          <w:lang w:val="nl-NL"/>
        </w:rPr>
      </w:pPr>
    </w:p>
    <w:p w14:paraId="49E66AD2" w14:textId="77777777" w:rsidR="00CE77FA" w:rsidRDefault="00CE77FA" w:rsidP="002B7186">
      <w:pPr>
        <w:rPr>
          <w:rFonts w:asciiTheme="minorHAnsi" w:hAnsiTheme="minorHAnsi" w:cstheme="minorHAnsi"/>
          <w:sz w:val="28"/>
          <w:szCs w:val="28"/>
          <w:lang w:val="nl-NL"/>
        </w:rPr>
      </w:pPr>
    </w:p>
    <w:p w14:paraId="4E118628" w14:textId="15FA99AE" w:rsidR="003B50C5" w:rsidRPr="00B50D73" w:rsidRDefault="003B50C5" w:rsidP="002B7186">
      <w:pPr>
        <w:rPr>
          <w:rFonts w:asciiTheme="minorHAnsi" w:hAnsiTheme="minorHAnsi" w:cstheme="minorHAnsi"/>
          <w:sz w:val="28"/>
          <w:szCs w:val="28"/>
          <w:lang w:val="nl-NL"/>
        </w:rPr>
      </w:pPr>
      <w:r w:rsidRPr="00B50D73">
        <w:rPr>
          <w:rFonts w:asciiTheme="minorHAnsi" w:hAnsiTheme="minorHAnsi" w:cstheme="minorHAnsi"/>
          <w:sz w:val="28"/>
          <w:szCs w:val="28"/>
          <w:lang w:val="nl-NL"/>
        </w:rPr>
        <w:lastRenderedPageBreak/>
        <w:t>Dosering</w:t>
      </w:r>
    </w:p>
    <w:p w14:paraId="11549117" w14:textId="77777777" w:rsidR="003B50C5" w:rsidRDefault="003B50C5" w:rsidP="002B7186">
      <w:pPr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lang w:val="nl-NL"/>
        </w:rPr>
        <w:t>Voor startdosering en de initiële onderhoudsdosering bij volwassenen: z</w:t>
      </w:r>
      <w:r w:rsidRPr="00322E86">
        <w:rPr>
          <w:rFonts w:asciiTheme="minorHAnsi" w:hAnsiTheme="minorHAnsi" w:cstheme="minorHAnsi"/>
          <w:lang w:val="nl-NL"/>
        </w:rPr>
        <w:t xml:space="preserve">ie </w:t>
      </w:r>
      <w:hyperlink r:id="rId10" w:history="1">
        <w:proofErr w:type="spellStart"/>
        <w:r w:rsidRPr="00322E86">
          <w:rPr>
            <w:rStyle w:val="Hyperlink"/>
            <w:rFonts w:asciiTheme="minorHAnsi" w:hAnsiTheme="minorHAnsi" w:cstheme="minorHAnsi"/>
            <w:lang w:val="nl-NL"/>
          </w:rPr>
          <w:t>Voriconazol</w:t>
        </w:r>
        <w:proofErr w:type="spellEnd"/>
        <w:r w:rsidRPr="00322E86">
          <w:rPr>
            <w:rStyle w:val="Hyperlink"/>
            <w:rFonts w:asciiTheme="minorHAnsi" w:hAnsiTheme="minorHAnsi" w:cstheme="minorHAnsi"/>
            <w:lang w:val="nl-NL"/>
          </w:rPr>
          <w:t xml:space="preserve"> in SWAB </w:t>
        </w:r>
        <w:proofErr w:type="spellStart"/>
        <w:r w:rsidRPr="00322E86">
          <w:rPr>
            <w:rStyle w:val="Hyperlink"/>
            <w:rFonts w:asciiTheme="minorHAnsi" w:hAnsiTheme="minorHAnsi" w:cstheme="minorHAnsi"/>
            <w:lang w:val="nl-NL"/>
          </w:rPr>
          <w:t>Radboudumc</w:t>
        </w:r>
        <w:proofErr w:type="spellEnd"/>
      </w:hyperlink>
      <w:r>
        <w:rPr>
          <w:rFonts w:asciiTheme="minorHAnsi" w:hAnsiTheme="minorHAnsi" w:cstheme="minorHAnsi"/>
          <w:lang w:val="nl-NL"/>
        </w:rPr>
        <w:t xml:space="preserve"> </w:t>
      </w:r>
    </w:p>
    <w:p w14:paraId="744EC9B0" w14:textId="77777777" w:rsidR="003B50C5" w:rsidRDefault="003B50C5" w:rsidP="002B7186">
      <w:pPr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lang w:val="nl-NL"/>
        </w:rPr>
        <w:t xml:space="preserve">Voor startdosering en de initiële onderhoudsdosering bij kinderen 2-18 jaar: zie </w:t>
      </w:r>
      <w:hyperlink r:id="rId11" w:history="1">
        <w:r w:rsidRPr="00DA5191">
          <w:rPr>
            <w:rStyle w:val="Hyperlink"/>
            <w:rFonts w:asciiTheme="minorHAnsi" w:hAnsiTheme="minorHAnsi" w:cstheme="minorHAnsi"/>
            <w:lang w:val="nl-NL"/>
          </w:rPr>
          <w:t>Kinderformularium</w:t>
        </w:r>
      </w:hyperlink>
    </w:p>
    <w:p w14:paraId="05905BA1" w14:textId="77777777" w:rsidR="00D74B11" w:rsidRDefault="00D74B11" w:rsidP="00881598">
      <w:pPr>
        <w:rPr>
          <w:rFonts w:asciiTheme="minorHAnsi" w:hAnsiTheme="minorHAnsi" w:cstheme="minorHAnsi"/>
          <w:i/>
          <w:iCs/>
          <w:lang w:val="nl-NL"/>
        </w:rPr>
      </w:pPr>
    </w:p>
    <w:p w14:paraId="3FC7467A" w14:textId="07FCBAA1" w:rsidR="00881598" w:rsidRDefault="00881598" w:rsidP="00881598">
      <w:pPr>
        <w:rPr>
          <w:rFonts w:asciiTheme="minorHAnsi" w:hAnsiTheme="minorHAnsi" w:cstheme="minorHAnsi"/>
          <w:i/>
          <w:iCs/>
          <w:lang w:val="nl-NL"/>
        </w:rPr>
      </w:pPr>
      <w:r>
        <w:rPr>
          <w:rFonts w:asciiTheme="minorHAnsi" w:hAnsiTheme="minorHAnsi" w:cstheme="minorHAnsi"/>
          <w:i/>
          <w:iCs/>
          <w:lang w:val="nl-NL"/>
        </w:rPr>
        <w:t>CYP2C19-genvariaties</w:t>
      </w:r>
    </w:p>
    <w:p w14:paraId="5AE7873E" w14:textId="77777777" w:rsidR="00881598" w:rsidRDefault="00881598" w:rsidP="00881598">
      <w:pPr>
        <w:rPr>
          <w:rFonts w:asciiTheme="minorHAnsi" w:hAnsiTheme="minorHAnsi" w:cstheme="minorHAnsi"/>
          <w:lang w:val="nl-NL"/>
        </w:rPr>
      </w:pPr>
      <w:proofErr w:type="spellStart"/>
      <w:r>
        <w:rPr>
          <w:rFonts w:asciiTheme="minorHAnsi" w:hAnsiTheme="minorHAnsi" w:cstheme="minorHAnsi"/>
          <w:lang w:val="nl-NL"/>
        </w:rPr>
        <w:t>Voriconazol</w:t>
      </w:r>
      <w:proofErr w:type="spellEnd"/>
      <w:r>
        <w:rPr>
          <w:rFonts w:asciiTheme="minorHAnsi" w:hAnsiTheme="minorHAnsi" w:cstheme="minorHAnsi"/>
          <w:lang w:val="nl-NL"/>
        </w:rPr>
        <w:t xml:space="preserve"> wordt grotendeels gemetaboliseerd door CYP2C19 en in mindere mate door CYP3A4 en CYP2C9. </w:t>
      </w:r>
      <w:proofErr w:type="spellStart"/>
      <w:r>
        <w:rPr>
          <w:rFonts w:asciiTheme="minorHAnsi" w:hAnsiTheme="minorHAnsi" w:cstheme="minorHAnsi"/>
          <w:lang w:val="nl-NL"/>
        </w:rPr>
        <w:t>Farmacogenetische</w:t>
      </w:r>
      <w:proofErr w:type="spellEnd"/>
      <w:r>
        <w:rPr>
          <w:rFonts w:asciiTheme="minorHAnsi" w:hAnsiTheme="minorHAnsi" w:cstheme="minorHAnsi"/>
          <w:lang w:val="nl-NL"/>
        </w:rPr>
        <w:t xml:space="preserve"> variatie van CYP2C19 verklaart een deel van de interindividuele variatie in </w:t>
      </w:r>
      <w:proofErr w:type="spellStart"/>
      <w:r>
        <w:rPr>
          <w:rFonts w:asciiTheme="minorHAnsi" w:hAnsiTheme="minorHAnsi" w:cstheme="minorHAnsi"/>
          <w:lang w:val="nl-NL"/>
        </w:rPr>
        <w:t>vorizonazol</w:t>
      </w:r>
      <w:proofErr w:type="spellEnd"/>
      <w:r>
        <w:rPr>
          <w:rFonts w:asciiTheme="minorHAnsi" w:hAnsiTheme="minorHAnsi" w:cstheme="minorHAnsi"/>
          <w:lang w:val="nl-NL"/>
        </w:rPr>
        <w:t xml:space="preserve"> plasmaspiegels. </w:t>
      </w:r>
      <w:proofErr w:type="spellStart"/>
      <w:r>
        <w:rPr>
          <w:rFonts w:asciiTheme="minorHAnsi" w:hAnsiTheme="minorHAnsi" w:cstheme="minorHAnsi"/>
          <w:lang w:val="nl-NL"/>
        </w:rPr>
        <w:t>Farmacogenetische</w:t>
      </w:r>
      <w:proofErr w:type="spellEnd"/>
      <w:r>
        <w:rPr>
          <w:rFonts w:asciiTheme="minorHAnsi" w:hAnsiTheme="minorHAnsi" w:cstheme="minorHAnsi"/>
          <w:lang w:val="nl-NL"/>
        </w:rPr>
        <w:t xml:space="preserve"> variatie van CYP2C9 heeft gezien de marginale metabole bijdrage een verwaarloosbare impact op de blootstelling.</w:t>
      </w:r>
    </w:p>
    <w:p w14:paraId="7F3C35F4" w14:textId="77777777" w:rsidR="00881598" w:rsidRDefault="00881598" w:rsidP="00881598">
      <w:pPr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lang w:val="nl-NL"/>
        </w:rPr>
        <w:t xml:space="preserve">Omdat </w:t>
      </w:r>
      <w:proofErr w:type="spellStart"/>
      <w:r>
        <w:rPr>
          <w:rFonts w:asciiTheme="minorHAnsi" w:hAnsiTheme="minorHAnsi" w:cstheme="minorHAnsi"/>
          <w:lang w:val="nl-NL"/>
        </w:rPr>
        <w:t>voriconazoldoseringen</w:t>
      </w:r>
      <w:proofErr w:type="spellEnd"/>
      <w:r>
        <w:rPr>
          <w:rFonts w:asciiTheme="minorHAnsi" w:hAnsiTheme="minorHAnsi" w:cstheme="minorHAnsi"/>
          <w:lang w:val="nl-NL"/>
        </w:rPr>
        <w:t xml:space="preserve"> al worden aangepast aan de hand van </w:t>
      </w:r>
      <w:proofErr w:type="spellStart"/>
      <w:r>
        <w:rPr>
          <w:rFonts w:asciiTheme="minorHAnsi" w:hAnsiTheme="minorHAnsi" w:cstheme="minorHAnsi"/>
          <w:lang w:val="nl-NL"/>
        </w:rPr>
        <w:t>dalspiegels</w:t>
      </w:r>
      <w:proofErr w:type="spellEnd"/>
      <w:r>
        <w:rPr>
          <w:rFonts w:asciiTheme="minorHAnsi" w:hAnsiTheme="minorHAnsi" w:cstheme="minorHAnsi"/>
          <w:lang w:val="nl-NL"/>
        </w:rPr>
        <w:t xml:space="preserve">, is het standaard inzetten van een </w:t>
      </w:r>
      <w:proofErr w:type="spellStart"/>
      <w:r>
        <w:rPr>
          <w:rFonts w:asciiTheme="minorHAnsi" w:hAnsiTheme="minorHAnsi" w:cstheme="minorHAnsi"/>
          <w:lang w:val="nl-NL"/>
        </w:rPr>
        <w:t>farmacogenetische</w:t>
      </w:r>
      <w:proofErr w:type="spellEnd"/>
      <w:r>
        <w:rPr>
          <w:rFonts w:asciiTheme="minorHAnsi" w:hAnsiTheme="minorHAnsi" w:cstheme="minorHAnsi"/>
          <w:lang w:val="nl-NL"/>
        </w:rPr>
        <w:t xml:space="preserve"> analyse niet bijdragend. </w:t>
      </w:r>
    </w:p>
    <w:p w14:paraId="43EEC914" w14:textId="77777777" w:rsidR="00881598" w:rsidRDefault="00881598" w:rsidP="00881598">
      <w:pPr>
        <w:rPr>
          <w:rFonts w:asciiTheme="minorHAnsi" w:hAnsiTheme="minorHAnsi" w:cstheme="minorHAnsi"/>
          <w:lang w:val="nl-NL"/>
        </w:rPr>
      </w:pPr>
    </w:p>
    <w:p w14:paraId="3AA4CC6C" w14:textId="77777777" w:rsidR="00881598" w:rsidRDefault="00881598" w:rsidP="00881598">
      <w:pPr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lang w:val="nl-NL"/>
        </w:rPr>
        <w:t xml:space="preserve">Indien de CYP2C19 </w:t>
      </w:r>
      <w:proofErr w:type="spellStart"/>
      <w:r>
        <w:rPr>
          <w:rFonts w:asciiTheme="minorHAnsi" w:hAnsiTheme="minorHAnsi" w:cstheme="minorHAnsi"/>
          <w:lang w:val="nl-NL"/>
        </w:rPr>
        <w:t>metabolizer</w:t>
      </w:r>
      <w:proofErr w:type="spellEnd"/>
      <w:r>
        <w:rPr>
          <w:rFonts w:asciiTheme="minorHAnsi" w:hAnsiTheme="minorHAnsi" w:cstheme="minorHAnsi"/>
          <w:lang w:val="nl-NL"/>
        </w:rPr>
        <w:t xml:space="preserve"> status van patiënten op voorhand bekend is, kunnen startdoseringen worden aangepast conform de richtlijn van de </w:t>
      </w:r>
      <w:hyperlink r:id="rId12" w:history="1">
        <w:r w:rsidRPr="00054624">
          <w:rPr>
            <w:rStyle w:val="Hyperlink"/>
            <w:rFonts w:asciiTheme="minorHAnsi" w:hAnsiTheme="minorHAnsi" w:cstheme="minorHAnsi"/>
            <w:lang w:val="nl-NL"/>
          </w:rPr>
          <w:t>KNMP kennisbank</w:t>
        </w:r>
      </w:hyperlink>
      <w:r>
        <w:rPr>
          <w:rFonts w:asciiTheme="minorHAnsi" w:hAnsiTheme="minorHAnsi" w:cstheme="minorHAnsi"/>
          <w:lang w:val="nl-NL"/>
        </w:rPr>
        <w:t>:</w:t>
      </w:r>
    </w:p>
    <w:p w14:paraId="1CF82990" w14:textId="77777777" w:rsidR="00881598" w:rsidRPr="00192061" w:rsidRDefault="00881598" w:rsidP="00881598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lang w:val="nl-NL"/>
        </w:rPr>
      </w:pPr>
      <w:proofErr w:type="spellStart"/>
      <w:r w:rsidRPr="00192061">
        <w:rPr>
          <w:rFonts w:asciiTheme="minorHAnsi" w:hAnsiTheme="minorHAnsi" w:cstheme="minorHAnsi"/>
          <w:lang w:val="nl-NL"/>
        </w:rPr>
        <w:t>poor</w:t>
      </w:r>
      <w:proofErr w:type="spellEnd"/>
      <w:r w:rsidRPr="00192061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192061">
        <w:rPr>
          <w:rFonts w:asciiTheme="minorHAnsi" w:hAnsiTheme="minorHAnsi" w:cstheme="minorHAnsi"/>
          <w:lang w:val="nl-NL"/>
        </w:rPr>
        <w:t>metabolisers</w:t>
      </w:r>
      <w:proofErr w:type="spellEnd"/>
      <w:r w:rsidRPr="00192061">
        <w:rPr>
          <w:rFonts w:asciiTheme="minorHAnsi" w:hAnsiTheme="minorHAnsi" w:cstheme="minorHAnsi"/>
          <w:lang w:val="nl-NL"/>
        </w:rPr>
        <w:t>:</w:t>
      </w:r>
      <w:r>
        <w:rPr>
          <w:rFonts w:asciiTheme="minorHAnsi" w:hAnsiTheme="minorHAnsi" w:cstheme="minorHAnsi"/>
          <w:lang w:val="nl-NL"/>
        </w:rPr>
        <w:t xml:space="preserve"> start onderhoudsdosering op 50%</w:t>
      </w:r>
    </w:p>
    <w:p w14:paraId="775F45A9" w14:textId="77777777" w:rsidR="00881598" w:rsidRPr="00192061" w:rsidRDefault="00881598" w:rsidP="00881598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lang w:val="nl-NL"/>
        </w:rPr>
      </w:pPr>
      <w:proofErr w:type="spellStart"/>
      <w:r w:rsidRPr="00192061">
        <w:rPr>
          <w:rFonts w:asciiTheme="minorHAnsi" w:hAnsiTheme="minorHAnsi" w:cstheme="minorHAnsi"/>
          <w:lang w:val="nl-NL"/>
        </w:rPr>
        <w:t>intermediate</w:t>
      </w:r>
      <w:proofErr w:type="spellEnd"/>
      <w:r w:rsidRPr="00192061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192061">
        <w:rPr>
          <w:rFonts w:asciiTheme="minorHAnsi" w:hAnsiTheme="minorHAnsi" w:cstheme="minorHAnsi"/>
          <w:lang w:val="nl-NL"/>
        </w:rPr>
        <w:t>metabolisers</w:t>
      </w:r>
      <w:proofErr w:type="spellEnd"/>
      <w:r w:rsidRPr="00192061">
        <w:rPr>
          <w:rFonts w:asciiTheme="minorHAnsi" w:hAnsiTheme="minorHAnsi" w:cstheme="minorHAnsi"/>
          <w:lang w:val="nl-NL"/>
        </w:rPr>
        <w:t xml:space="preserve">: </w:t>
      </w:r>
      <w:r>
        <w:rPr>
          <w:rFonts w:asciiTheme="minorHAnsi" w:hAnsiTheme="minorHAnsi" w:cstheme="minorHAnsi"/>
          <w:lang w:val="nl-NL"/>
        </w:rPr>
        <w:t>geen doseringsaanpassing</w:t>
      </w:r>
    </w:p>
    <w:p w14:paraId="1D00681F" w14:textId="77777777" w:rsidR="00881598" w:rsidRPr="003B50C5" w:rsidRDefault="00881598" w:rsidP="00881598">
      <w:pPr>
        <w:pStyle w:val="Lijstalinea"/>
        <w:numPr>
          <w:ilvl w:val="0"/>
          <w:numId w:val="3"/>
        </w:numPr>
        <w:rPr>
          <w:rFonts w:asciiTheme="minorHAnsi" w:hAnsiTheme="minorHAnsi" w:cstheme="minorHAnsi"/>
          <w:lang w:val="nl-NL"/>
        </w:rPr>
      </w:pPr>
      <w:proofErr w:type="spellStart"/>
      <w:r w:rsidRPr="00192061">
        <w:rPr>
          <w:rFonts w:asciiTheme="minorHAnsi" w:hAnsiTheme="minorHAnsi" w:cstheme="minorHAnsi"/>
          <w:lang w:val="nl-NL"/>
        </w:rPr>
        <w:t>ultrarapid</w:t>
      </w:r>
      <w:proofErr w:type="spellEnd"/>
      <w:r w:rsidRPr="00192061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192061">
        <w:rPr>
          <w:rFonts w:asciiTheme="minorHAnsi" w:hAnsiTheme="minorHAnsi" w:cstheme="minorHAnsi"/>
          <w:lang w:val="nl-NL"/>
        </w:rPr>
        <w:t>metabolisers</w:t>
      </w:r>
      <w:proofErr w:type="spellEnd"/>
      <w:r w:rsidRPr="00192061">
        <w:rPr>
          <w:rFonts w:asciiTheme="minorHAnsi" w:hAnsiTheme="minorHAnsi" w:cstheme="minorHAnsi"/>
          <w:lang w:val="nl-NL"/>
        </w:rPr>
        <w:t xml:space="preserve">: </w:t>
      </w:r>
      <w:r>
        <w:rPr>
          <w:rFonts w:asciiTheme="minorHAnsi" w:hAnsiTheme="minorHAnsi" w:cstheme="minorHAnsi"/>
          <w:lang w:val="nl-NL"/>
        </w:rPr>
        <w:t>start onderhoudsdosering op 150%</w:t>
      </w:r>
    </w:p>
    <w:p w14:paraId="5F9E8905" w14:textId="77777777" w:rsidR="003B50C5" w:rsidRDefault="003B50C5" w:rsidP="002B7186">
      <w:pPr>
        <w:rPr>
          <w:rFonts w:asciiTheme="minorHAnsi" w:hAnsiTheme="minorHAnsi" w:cstheme="minorHAnsi"/>
          <w:lang w:val="nl-NL"/>
        </w:rPr>
      </w:pPr>
    </w:p>
    <w:p w14:paraId="5FFB7E93" w14:textId="77777777" w:rsidR="003B50C5" w:rsidRPr="00F77A8A" w:rsidRDefault="003B50C5" w:rsidP="002B7186">
      <w:pPr>
        <w:rPr>
          <w:rFonts w:asciiTheme="minorHAnsi" w:hAnsiTheme="minorHAnsi" w:cstheme="minorHAnsi"/>
          <w:sz w:val="28"/>
          <w:szCs w:val="28"/>
          <w:lang w:val="nl-NL"/>
        </w:rPr>
      </w:pPr>
      <w:r w:rsidRPr="00F77A8A">
        <w:rPr>
          <w:rFonts w:asciiTheme="minorHAnsi" w:hAnsiTheme="minorHAnsi" w:cstheme="minorHAnsi"/>
          <w:sz w:val="28"/>
          <w:szCs w:val="28"/>
          <w:lang w:val="nl-NL"/>
        </w:rPr>
        <w:t>Specifieke patiëntengroepen</w:t>
      </w:r>
    </w:p>
    <w:p w14:paraId="4E33AD9C" w14:textId="77777777" w:rsidR="003B50C5" w:rsidRDefault="003B50C5" w:rsidP="002B7186">
      <w:pPr>
        <w:rPr>
          <w:rFonts w:asciiTheme="minorHAnsi" w:hAnsiTheme="minorHAnsi" w:cstheme="minorHAnsi"/>
          <w:i/>
          <w:iCs/>
          <w:lang w:val="nl-NL"/>
        </w:rPr>
      </w:pPr>
      <w:r>
        <w:rPr>
          <w:rFonts w:asciiTheme="minorHAnsi" w:hAnsiTheme="minorHAnsi" w:cstheme="minorHAnsi"/>
          <w:i/>
          <w:iCs/>
          <w:lang w:val="nl-NL"/>
        </w:rPr>
        <w:t>Verminderde nierfunctie en dialyse</w:t>
      </w:r>
    </w:p>
    <w:p w14:paraId="797ECB42" w14:textId="6A06EE4C" w:rsidR="003B50C5" w:rsidRPr="00F77A8A" w:rsidRDefault="00F77A8A" w:rsidP="002B7186">
      <w:pPr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lang w:val="nl-NL"/>
        </w:rPr>
        <w:t xml:space="preserve">Er zijn geen dosisaanpassingen nodig bij verminderde nierfunctie of dialyse (hemodialyse, </w:t>
      </w:r>
      <w:proofErr w:type="spellStart"/>
      <w:r>
        <w:rPr>
          <w:rFonts w:asciiTheme="minorHAnsi" w:hAnsiTheme="minorHAnsi" w:cstheme="minorHAnsi"/>
          <w:lang w:val="nl-NL"/>
        </w:rPr>
        <w:t>peritoneaaldialyse</w:t>
      </w:r>
      <w:proofErr w:type="spellEnd"/>
      <w:r>
        <w:rPr>
          <w:rFonts w:asciiTheme="minorHAnsi" w:hAnsiTheme="minorHAnsi" w:cstheme="minorHAnsi"/>
          <w:lang w:val="nl-NL"/>
        </w:rPr>
        <w:t>, CVVH)</w:t>
      </w:r>
      <w:r w:rsidR="00DC7845">
        <w:rPr>
          <w:rFonts w:asciiTheme="minorHAnsi" w:hAnsiTheme="minorHAnsi" w:cstheme="minorHAnsi"/>
          <w:lang w:val="nl-NL"/>
        </w:rPr>
        <w:t xml:space="preserve">. </w:t>
      </w:r>
      <w:r w:rsidR="00C30D98">
        <w:rPr>
          <w:rFonts w:asciiTheme="minorHAnsi" w:hAnsiTheme="minorHAnsi" w:cstheme="minorHAnsi"/>
          <w:lang w:val="nl-NL"/>
        </w:rPr>
        <w:t xml:space="preserve">Afnamemoment voor spiegels is hetzelfde als bij </w:t>
      </w:r>
      <w:proofErr w:type="spellStart"/>
      <w:r w:rsidR="00C30D98">
        <w:rPr>
          <w:rFonts w:asciiTheme="minorHAnsi" w:hAnsiTheme="minorHAnsi" w:cstheme="minorHAnsi"/>
          <w:lang w:val="nl-NL"/>
        </w:rPr>
        <w:t>patienten</w:t>
      </w:r>
      <w:proofErr w:type="spellEnd"/>
      <w:r w:rsidR="00C30D98">
        <w:rPr>
          <w:rFonts w:asciiTheme="minorHAnsi" w:hAnsiTheme="minorHAnsi" w:cstheme="minorHAnsi"/>
          <w:lang w:val="nl-NL"/>
        </w:rPr>
        <w:t xml:space="preserve"> met een adequate nierfunctie.</w:t>
      </w:r>
    </w:p>
    <w:p w14:paraId="31CEABF8" w14:textId="75E8849A" w:rsidR="00F77A8A" w:rsidRDefault="00F77A8A" w:rsidP="002B7186">
      <w:pPr>
        <w:rPr>
          <w:rFonts w:asciiTheme="minorHAnsi" w:hAnsiTheme="minorHAnsi" w:cstheme="minorHAnsi"/>
          <w:i/>
          <w:iCs/>
          <w:lang w:val="nl-NL"/>
        </w:rPr>
      </w:pPr>
    </w:p>
    <w:p w14:paraId="284EA006" w14:textId="77777777" w:rsidR="00C30D98" w:rsidRDefault="00C30D98" w:rsidP="00C30D98">
      <w:pPr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i/>
          <w:iCs/>
          <w:lang w:val="nl-NL"/>
        </w:rPr>
        <w:t>Leverpanelafwijkingen</w:t>
      </w:r>
    </w:p>
    <w:p w14:paraId="6B5DBF93" w14:textId="0266E780" w:rsidR="00C30D98" w:rsidRDefault="00E757D6" w:rsidP="00C30D98">
      <w:pPr>
        <w:rPr>
          <w:rFonts w:asciiTheme="minorHAnsi" w:hAnsiTheme="minorHAnsi" w:cstheme="minorHAnsi"/>
          <w:lang w:val="nl-NL"/>
        </w:rPr>
      </w:pPr>
      <w:proofErr w:type="spellStart"/>
      <w:r>
        <w:rPr>
          <w:rFonts w:asciiTheme="minorHAnsi" w:hAnsiTheme="minorHAnsi" w:cstheme="minorHAnsi"/>
          <w:lang w:val="nl-NL"/>
        </w:rPr>
        <w:t>Voriconazol</w:t>
      </w:r>
      <w:proofErr w:type="spellEnd"/>
      <w:r>
        <w:rPr>
          <w:rFonts w:asciiTheme="minorHAnsi" w:hAnsiTheme="minorHAnsi" w:cstheme="minorHAnsi"/>
          <w:lang w:val="nl-NL"/>
        </w:rPr>
        <w:t xml:space="preserve"> wordt voornamelijk geëlimineerd door de lever. </w:t>
      </w:r>
      <w:r w:rsidR="00C30D98">
        <w:rPr>
          <w:rFonts w:asciiTheme="minorHAnsi" w:hAnsiTheme="minorHAnsi" w:cstheme="minorHAnsi"/>
          <w:lang w:val="nl-NL"/>
        </w:rPr>
        <w:t xml:space="preserve">In het geval van leverpanelafwijkingen (ALAT, ASAT, gamma GT, AF) zonder aanwijzingen voor leverfunctieverlies (stolling, glucose, albumine </w:t>
      </w:r>
      <w:proofErr w:type="spellStart"/>
      <w:r w:rsidR="00C30D98">
        <w:rPr>
          <w:rFonts w:asciiTheme="minorHAnsi" w:hAnsiTheme="minorHAnsi" w:cstheme="minorHAnsi"/>
          <w:lang w:val="nl-NL"/>
        </w:rPr>
        <w:t>etc</w:t>
      </w:r>
      <w:proofErr w:type="spellEnd"/>
      <w:r w:rsidR="00C30D98">
        <w:rPr>
          <w:rFonts w:asciiTheme="minorHAnsi" w:hAnsiTheme="minorHAnsi" w:cstheme="minorHAnsi"/>
          <w:lang w:val="nl-NL"/>
        </w:rPr>
        <w:t xml:space="preserve">), kan </w:t>
      </w:r>
      <w:proofErr w:type="spellStart"/>
      <w:r w:rsidR="00C30D98">
        <w:rPr>
          <w:rFonts w:asciiTheme="minorHAnsi" w:hAnsiTheme="minorHAnsi" w:cstheme="minorHAnsi"/>
          <w:lang w:val="nl-NL"/>
        </w:rPr>
        <w:t>voriconazol</w:t>
      </w:r>
      <w:proofErr w:type="spellEnd"/>
      <w:r w:rsidR="00C30D98">
        <w:rPr>
          <w:rFonts w:asciiTheme="minorHAnsi" w:hAnsiTheme="minorHAnsi" w:cstheme="minorHAnsi"/>
          <w:lang w:val="nl-NL"/>
        </w:rPr>
        <w:t xml:space="preserve"> wel gegeven worden mits de dosering </w:t>
      </w:r>
      <w:proofErr w:type="spellStart"/>
      <w:r w:rsidR="00C30D98">
        <w:rPr>
          <w:rFonts w:asciiTheme="minorHAnsi" w:hAnsiTheme="minorHAnsi" w:cstheme="minorHAnsi"/>
          <w:lang w:val="nl-NL"/>
        </w:rPr>
        <w:t>spiegelgewijs</w:t>
      </w:r>
      <w:proofErr w:type="spellEnd"/>
      <w:r w:rsidR="00C30D98">
        <w:rPr>
          <w:rFonts w:asciiTheme="minorHAnsi" w:hAnsiTheme="minorHAnsi" w:cstheme="minorHAnsi"/>
          <w:lang w:val="nl-NL"/>
        </w:rPr>
        <w:t xml:space="preserve"> wordt aangepast. </w:t>
      </w:r>
    </w:p>
    <w:p w14:paraId="7434115C" w14:textId="77777777" w:rsidR="00C30D98" w:rsidRDefault="00C30D98" w:rsidP="002B7186">
      <w:pPr>
        <w:rPr>
          <w:rFonts w:asciiTheme="minorHAnsi" w:hAnsiTheme="minorHAnsi" w:cstheme="minorHAnsi"/>
          <w:i/>
          <w:iCs/>
          <w:lang w:val="nl-NL"/>
        </w:rPr>
      </w:pPr>
    </w:p>
    <w:p w14:paraId="1048910D" w14:textId="63B68F6A" w:rsidR="003B50C5" w:rsidRDefault="007A3544" w:rsidP="002B7186">
      <w:pPr>
        <w:rPr>
          <w:rFonts w:asciiTheme="minorHAnsi" w:hAnsiTheme="minorHAnsi" w:cstheme="minorHAnsi"/>
          <w:i/>
          <w:iCs/>
          <w:lang w:val="nl-NL"/>
        </w:rPr>
      </w:pPr>
      <w:r>
        <w:rPr>
          <w:rFonts w:asciiTheme="minorHAnsi" w:hAnsiTheme="minorHAnsi" w:cstheme="minorHAnsi"/>
          <w:i/>
          <w:iCs/>
          <w:lang w:val="nl-NL"/>
        </w:rPr>
        <w:t>L</w:t>
      </w:r>
      <w:r w:rsidR="003B50C5">
        <w:rPr>
          <w:rFonts w:asciiTheme="minorHAnsi" w:hAnsiTheme="minorHAnsi" w:cstheme="minorHAnsi"/>
          <w:i/>
          <w:iCs/>
          <w:lang w:val="nl-NL"/>
        </w:rPr>
        <w:t>evercirrose</w:t>
      </w:r>
    </w:p>
    <w:p w14:paraId="4AF14CC1" w14:textId="2ED026A2" w:rsidR="003B50C5" w:rsidRDefault="003B50C5" w:rsidP="002B7186">
      <w:pPr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lang w:val="nl-NL"/>
        </w:rPr>
        <w:t xml:space="preserve">Geef een volledige oplaaddosering op dag 1 (2 giften), gevolgd door 50% van de onderhoudsdosering bij volwassenen en kinderen met lichte tot matige levercirrose (Child </w:t>
      </w:r>
      <w:proofErr w:type="spellStart"/>
      <w:r>
        <w:rPr>
          <w:rFonts w:asciiTheme="minorHAnsi" w:hAnsiTheme="minorHAnsi" w:cstheme="minorHAnsi"/>
          <w:lang w:val="nl-NL"/>
        </w:rPr>
        <w:t>Pugh</w:t>
      </w:r>
      <w:proofErr w:type="spellEnd"/>
      <w:r>
        <w:rPr>
          <w:rFonts w:asciiTheme="minorHAnsi" w:hAnsiTheme="minorHAnsi" w:cstheme="minorHAnsi"/>
          <w:lang w:val="nl-NL"/>
        </w:rPr>
        <w:t xml:space="preserve"> A en B). Vervolgdoseringen dienen te worden aangepast aan de hand van </w:t>
      </w:r>
      <w:proofErr w:type="spellStart"/>
      <w:r>
        <w:rPr>
          <w:rFonts w:asciiTheme="minorHAnsi" w:hAnsiTheme="minorHAnsi" w:cstheme="minorHAnsi"/>
          <w:lang w:val="nl-NL"/>
        </w:rPr>
        <w:t>dalspiegels</w:t>
      </w:r>
      <w:proofErr w:type="spellEnd"/>
      <w:r w:rsidR="00446E30">
        <w:rPr>
          <w:rFonts w:asciiTheme="minorHAnsi" w:hAnsiTheme="minorHAnsi" w:cstheme="minorHAnsi"/>
          <w:lang w:val="nl-NL"/>
        </w:rPr>
        <w:t xml:space="preserve">, </w:t>
      </w:r>
      <w:r w:rsidR="00EB20C6">
        <w:rPr>
          <w:rFonts w:asciiTheme="minorHAnsi" w:hAnsiTheme="minorHAnsi" w:cstheme="minorHAnsi"/>
          <w:lang w:val="nl-NL"/>
        </w:rPr>
        <w:t xml:space="preserve">waarbij </w:t>
      </w:r>
      <w:r w:rsidR="00C30D98">
        <w:rPr>
          <w:rFonts w:asciiTheme="minorHAnsi" w:hAnsiTheme="minorHAnsi" w:cstheme="minorHAnsi"/>
          <w:lang w:val="nl-NL"/>
        </w:rPr>
        <w:t xml:space="preserve">veiligheidshalve </w:t>
      </w:r>
      <w:r w:rsidR="00EB20C6">
        <w:rPr>
          <w:rFonts w:asciiTheme="minorHAnsi" w:hAnsiTheme="minorHAnsi" w:cstheme="minorHAnsi"/>
          <w:lang w:val="nl-NL"/>
        </w:rPr>
        <w:t>een bovengrens van 4 mg/L dient te worden aangehouden.</w:t>
      </w:r>
    </w:p>
    <w:p w14:paraId="252EF544" w14:textId="77777777" w:rsidR="003B50C5" w:rsidRDefault="003B50C5" w:rsidP="002B7186">
      <w:pPr>
        <w:rPr>
          <w:rFonts w:asciiTheme="minorHAnsi" w:hAnsiTheme="minorHAnsi" w:cstheme="minorHAnsi"/>
          <w:lang w:val="nl-NL"/>
        </w:rPr>
      </w:pPr>
    </w:p>
    <w:p w14:paraId="15840AF2" w14:textId="77777777" w:rsidR="003B50C5" w:rsidRDefault="003B50C5" w:rsidP="002B7186">
      <w:pPr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lang w:val="nl-NL"/>
        </w:rPr>
        <w:t xml:space="preserve">Bij verdenking op </w:t>
      </w:r>
      <w:proofErr w:type="spellStart"/>
      <w:r>
        <w:rPr>
          <w:rFonts w:asciiTheme="minorHAnsi" w:hAnsiTheme="minorHAnsi" w:cstheme="minorHAnsi"/>
          <w:lang w:val="nl-NL"/>
        </w:rPr>
        <w:t>voriconazolgerelateerde</w:t>
      </w:r>
      <w:proofErr w:type="spellEnd"/>
      <w:r>
        <w:rPr>
          <w:rFonts w:asciiTheme="minorHAnsi" w:hAnsiTheme="minorHAnsi" w:cstheme="minorHAnsi"/>
          <w:lang w:val="nl-NL"/>
        </w:rPr>
        <w:t xml:space="preserve"> </w:t>
      </w:r>
      <w:proofErr w:type="spellStart"/>
      <w:r>
        <w:rPr>
          <w:rFonts w:asciiTheme="minorHAnsi" w:hAnsiTheme="minorHAnsi" w:cstheme="minorHAnsi"/>
          <w:lang w:val="nl-NL"/>
        </w:rPr>
        <w:t>hepatotoxiciteit</w:t>
      </w:r>
      <w:proofErr w:type="spellEnd"/>
      <w:r>
        <w:rPr>
          <w:rFonts w:asciiTheme="minorHAnsi" w:hAnsiTheme="minorHAnsi" w:cstheme="minorHAnsi"/>
          <w:lang w:val="nl-NL"/>
        </w:rPr>
        <w:t xml:space="preserve"> dient overleg plaats te vinden met de ziekenhuisapotheker.</w:t>
      </w:r>
    </w:p>
    <w:p w14:paraId="297254A5" w14:textId="77777777" w:rsidR="003B50C5" w:rsidRDefault="003B50C5" w:rsidP="002B7186">
      <w:pPr>
        <w:rPr>
          <w:rFonts w:asciiTheme="minorHAnsi" w:hAnsiTheme="minorHAnsi" w:cstheme="minorHAnsi"/>
          <w:lang w:val="nl-NL"/>
        </w:rPr>
      </w:pPr>
    </w:p>
    <w:p w14:paraId="22260FD7" w14:textId="77777777" w:rsidR="003B50C5" w:rsidRDefault="003B50C5" w:rsidP="00A8610A">
      <w:pPr>
        <w:rPr>
          <w:rFonts w:asciiTheme="minorHAnsi" w:hAnsiTheme="minorHAnsi" w:cstheme="minorHAnsi"/>
          <w:i/>
          <w:iCs/>
          <w:lang w:val="nl-NL"/>
        </w:rPr>
      </w:pPr>
      <w:r>
        <w:rPr>
          <w:rFonts w:asciiTheme="minorHAnsi" w:hAnsiTheme="minorHAnsi" w:cstheme="minorHAnsi"/>
          <w:i/>
          <w:iCs/>
          <w:lang w:val="nl-NL"/>
        </w:rPr>
        <w:t>ECMO</w:t>
      </w:r>
    </w:p>
    <w:p w14:paraId="5FBEBD03" w14:textId="451D4D6E" w:rsidR="003B50C5" w:rsidRDefault="003B50C5" w:rsidP="002B7186">
      <w:pPr>
        <w:rPr>
          <w:rFonts w:asciiTheme="minorHAnsi" w:hAnsiTheme="minorHAnsi" w:cstheme="minorHAnsi"/>
          <w:lang w:val="nl-NL"/>
        </w:rPr>
      </w:pPr>
      <w:proofErr w:type="spellStart"/>
      <w:r>
        <w:rPr>
          <w:rFonts w:asciiTheme="minorHAnsi" w:hAnsiTheme="minorHAnsi" w:cstheme="minorHAnsi"/>
          <w:lang w:val="nl-NL"/>
        </w:rPr>
        <w:t>Voriconazol</w:t>
      </w:r>
      <w:proofErr w:type="spellEnd"/>
      <w:r>
        <w:rPr>
          <w:rFonts w:asciiTheme="minorHAnsi" w:hAnsiTheme="minorHAnsi" w:cstheme="minorHAnsi"/>
          <w:lang w:val="nl-NL"/>
        </w:rPr>
        <w:t xml:space="preserve"> is lipofiel (</w:t>
      </w:r>
      <w:proofErr w:type="spellStart"/>
      <w:r>
        <w:rPr>
          <w:rFonts w:asciiTheme="minorHAnsi" w:hAnsiTheme="minorHAnsi" w:cstheme="minorHAnsi"/>
          <w:lang w:val="nl-NL"/>
        </w:rPr>
        <w:t>logP</w:t>
      </w:r>
      <w:proofErr w:type="spellEnd"/>
      <w:r>
        <w:rPr>
          <w:rFonts w:asciiTheme="minorHAnsi" w:hAnsiTheme="minorHAnsi" w:cstheme="minorHAnsi"/>
          <w:lang w:val="nl-NL"/>
        </w:rPr>
        <w:t xml:space="preserve"> 1.82) en voor 58% gebonden aan eiwit. Door deze eigenschappen kan </w:t>
      </w:r>
      <w:proofErr w:type="spellStart"/>
      <w:r>
        <w:rPr>
          <w:rFonts w:asciiTheme="minorHAnsi" w:hAnsiTheme="minorHAnsi" w:cstheme="minorHAnsi"/>
          <w:lang w:val="nl-NL"/>
        </w:rPr>
        <w:t>voriconazol</w:t>
      </w:r>
      <w:proofErr w:type="spellEnd"/>
      <w:r>
        <w:rPr>
          <w:rFonts w:asciiTheme="minorHAnsi" w:hAnsiTheme="minorHAnsi" w:cstheme="minorHAnsi"/>
          <w:lang w:val="nl-NL"/>
        </w:rPr>
        <w:t xml:space="preserve"> </w:t>
      </w:r>
      <w:r w:rsidR="00D74B11">
        <w:rPr>
          <w:rFonts w:asciiTheme="minorHAnsi" w:hAnsiTheme="minorHAnsi" w:cstheme="minorHAnsi"/>
          <w:lang w:val="nl-NL"/>
        </w:rPr>
        <w:t xml:space="preserve"> </w:t>
      </w:r>
      <w:r w:rsidR="00C30D98">
        <w:rPr>
          <w:rFonts w:asciiTheme="minorHAnsi" w:hAnsiTheme="minorHAnsi" w:cstheme="minorHAnsi"/>
          <w:lang w:val="nl-NL"/>
        </w:rPr>
        <w:t>accumuleren</w:t>
      </w:r>
      <w:r>
        <w:rPr>
          <w:rFonts w:asciiTheme="minorHAnsi" w:hAnsiTheme="minorHAnsi" w:cstheme="minorHAnsi"/>
          <w:lang w:val="nl-NL"/>
        </w:rPr>
        <w:t xml:space="preserve"> in het ECMO circuit. Meerdere case </w:t>
      </w:r>
      <w:proofErr w:type="spellStart"/>
      <w:r>
        <w:rPr>
          <w:rFonts w:asciiTheme="minorHAnsi" w:hAnsiTheme="minorHAnsi" w:cstheme="minorHAnsi"/>
          <w:lang w:val="nl-NL"/>
        </w:rPr>
        <w:t>reports</w:t>
      </w:r>
      <w:proofErr w:type="spellEnd"/>
      <w:r>
        <w:rPr>
          <w:rFonts w:asciiTheme="minorHAnsi" w:hAnsiTheme="minorHAnsi" w:cstheme="minorHAnsi"/>
          <w:lang w:val="nl-NL"/>
        </w:rPr>
        <w:t xml:space="preserve">, </w:t>
      </w:r>
      <w:r>
        <w:rPr>
          <w:rFonts w:asciiTheme="minorHAnsi" w:hAnsiTheme="minorHAnsi" w:cstheme="minorHAnsi"/>
          <w:i/>
          <w:iCs/>
          <w:lang w:val="nl-NL"/>
        </w:rPr>
        <w:t>ex vivo</w:t>
      </w:r>
      <w:r>
        <w:rPr>
          <w:rFonts w:asciiTheme="minorHAnsi" w:hAnsiTheme="minorHAnsi" w:cstheme="minorHAnsi"/>
          <w:lang w:val="nl-NL"/>
        </w:rPr>
        <w:t xml:space="preserve"> studies en twee retrospectieve studies suggereren inderdaad een verband tussen ECMO en </w:t>
      </w:r>
      <w:proofErr w:type="spellStart"/>
      <w:r>
        <w:rPr>
          <w:rFonts w:asciiTheme="minorHAnsi" w:hAnsiTheme="minorHAnsi" w:cstheme="minorHAnsi"/>
          <w:lang w:val="nl-NL"/>
        </w:rPr>
        <w:t>subtherapeutische</w:t>
      </w:r>
      <w:proofErr w:type="spellEnd"/>
      <w:r>
        <w:rPr>
          <w:rFonts w:asciiTheme="minorHAnsi" w:hAnsiTheme="minorHAnsi" w:cstheme="minorHAnsi"/>
          <w:lang w:val="nl-NL"/>
        </w:rPr>
        <w:t xml:space="preserve"> </w:t>
      </w:r>
      <w:proofErr w:type="spellStart"/>
      <w:r>
        <w:rPr>
          <w:rFonts w:asciiTheme="minorHAnsi" w:hAnsiTheme="minorHAnsi" w:cstheme="minorHAnsi"/>
          <w:lang w:val="nl-NL"/>
        </w:rPr>
        <w:t>voriconazol</w:t>
      </w:r>
      <w:proofErr w:type="spellEnd"/>
      <w:r>
        <w:rPr>
          <w:rFonts w:asciiTheme="minorHAnsi" w:hAnsiTheme="minorHAnsi" w:cstheme="minorHAnsi"/>
          <w:lang w:val="nl-NL"/>
        </w:rPr>
        <w:t xml:space="preserve"> spiegels.</w:t>
      </w:r>
      <w:r w:rsidRPr="00A20A38">
        <w:rPr>
          <w:rFonts w:asciiTheme="minorHAnsi" w:hAnsiTheme="minorHAnsi" w:cstheme="minorHAnsi"/>
          <w:noProof/>
          <w:vertAlign w:val="superscript"/>
          <w:lang w:val="nl-NL"/>
        </w:rPr>
        <w:t xml:space="preserve"> 14-16</w:t>
      </w:r>
      <w:r>
        <w:rPr>
          <w:rFonts w:asciiTheme="minorHAnsi" w:hAnsiTheme="minorHAnsi" w:cstheme="minorHAnsi"/>
          <w:lang w:val="nl-NL"/>
        </w:rPr>
        <w:t xml:space="preserve"> Dit verband kon niet worden aangetoond in een recente retrospectieve </w:t>
      </w:r>
      <w:r>
        <w:rPr>
          <w:rFonts w:asciiTheme="minorHAnsi" w:hAnsiTheme="minorHAnsi" w:cstheme="minorHAnsi"/>
          <w:lang w:val="nl-NL"/>
        </w:rPr>
        <w:lastRenderedPageBreak/>
        <w:t>cohort studie.</w:t>
      </w:r>
      <w:r w:rsidRPr="00A20A38">
        <w:rPr>
          <w:rFonts w:asciiTheme="minorHAnsi" w:hAnsiTheme="minorHAnsi" w:cstheme="minorHAnsi"/>
          <w:noProof/>
          <w:vertAlign w:val="superscript"/>
          <w:lang w:val="nl-NL"/>
        </w:rPr>
        <w:t xml:space="preserve"> 17</w:t>
      </w:r>
      <w:r>
        <w:rPr>
          <w:rFonts w:asciiTheme="minorHAnsi" w:hAnsiTheme="minorHAnsi" w:cstheme="minorHAnsi"/>
          <w:lang w:val="nl-NL"/>
        </w:rPr>
        <w:t xml:space="preserve"> Gezien de beperkte kwaliteit van de huidige </w:t>
      </w:r>
      <w:proofErr w:type="spellStart"/>
      <w:r>
        <w:rPr>
          <w:rFonts w:asciiTheme="minorHAnsi" w:hAnsiTheme="minorHAnsi" w:cstheme="minorHAnsi"/>
          <w:lang w:val="nl-NL"/>
        </w:rPr>
        <w:t>evidence</w:t>
      </w:r>
      <w:proofErr w:type="spellEnd"/>
      <w:r>
        <w:rPr>
          <w:rFonts w:asciiTheme="minorHAnsi" w:hAnsiTheme="minorHAnsi" w:cstheme="minorHAnsi"/>
          <w:lang w:val="nl-NL"/>
        </w:rPr>
        <w:t xml:space="preserve">, de discrepantie tussen de verschillende studies en de intrinsieke heterogene variabiliteit van deze ernstig zieke populatie, </w:t>
      </w:r>
      <w:r w:rsidR="00242092">
        <w:rPr>
          <w:rFonts w:asciiTheme="minorHAnsi" w:hAnsiTheme="minorHAnsi" w:cstheme="minorHAnsi"/>
          <w:lang w:val="nl-NL"/>
        </w:rPr>
        <w:t xml:space="preserve">wordt het bepalen van </w:t>
      </w:r>
      <w:proofErr w:type="spellStart"/>
      <w:r w:rsidR="00242092">
        <w:rPr>
          <w:rFonts w:asciiTheme="minorHAnsi" w:hAnsiTheme="minorHAnsi" w:cstheme="minorHAnsi"/>
          <w:lang w:val="nl-NL"/>
        </w:rPr>
        <w:t>dalspiegels</w:t>
      </w:r>
      <w:proofErr w:type="spellEnd"/>
      <w:r w:rsidR="00242092">
        <w:rPr>
          <w:rFonts w:asciiTheme="minorHAnsi" w:hAnsiTheme="minorHAnsi" w:cstheme="minorHAnsi"/>
          <w:lang w:val="nl-NL"/>
        </w:rPr>
        <w:t xml:space="preserve"> 1-2 keer per week aanbevolen.</w:t>
      </w:r>
      <w:r>
        <w:rPr>
          <w:rFonts w:asciiTheme="minorHAnsi" w:hAnsiTheme="minorHAnsi" w:cstheme="minorHAnsi"/>
          <w:lang w:val="nl-NL"/>
        </w:rPr>
        <w:t xml:space="preserve"> </w:t>
      </w:r>
    </w:p>
    <w:p w14:paraId="3FE93F0A" w14:textId="77777777" w:rsidR="003B50C5" w:rsidRPr="00322E86" w:rsidRDefault="003B50C5" w:rsidP="002B7186">
      <w:pPr>
        <w:rPr>
          <w:rFonts w:asciiTheme="minorHAnsi" w:hAnsiTheme="minorHAnsi" w:cstheme="minorHAnsi"/>
          <w:lang w:val="nl-NL"/>
        </w:rPr>
      </w:pPr>
    </w:p>
    <w:p w14:paraId="72243281" w14:textId="77777777" w:rsidR="003B50C5" w:rsidRPr="00322E86" w:rsidRDefault="003B50C5" w:rsidP="002B7186">
      <w:pPr>
        <w:rPr>
          <w:rFonts w:asciiTheme="minorHAnsi" w:hAnsiTheme="minorHAnsi" w:cstheme="minorHAnsi"/>
          <w:lang w:val="nl-NL"/>
        </w:rPr>
      </w:pPr>
      <w:r w:rsidRPr="00322E86">
        <w:rPr>
          <w:rFonts w:asciiTheme="minorHAnsi" w:hAnsiTheme="minorHAnsi" w:cstheme="minorHAnsi"/>
          <w:sz w:val="28"/>
          <w:szCs w:val="28"/>
          <w:lang w:val="nl-NL"/>
        </w:rPr>
        <w:t>Referentiewaarden</w:t>
      </w:r>
    </w:p>
    <w:p w14:paraId="71B270D4" w14:textId="77777777" w:rsidR="003B50C5" w:rsidRPr="00322E86" w:rsidRDefault="003B50C5" w:rsidP="007D516F">
      <w:pPr>
        <w:rPr>
          <w:rFonts w:asciiTheme="minorHAnsi" w:hAnsiTheme="minorHAnsi" w:cstheme="minorHAnsi"/>
          <w:b/>
          <w:bCs/>
          <w:lang w:val="nl-NL"/>
        </w:rPr>
      </w:pPr>
      <w:r w:rsidRPr="00322E86">
        <w:rPr>
          <w:rFonts w:asciiTheme="minorHAnsi" w:hAnsiTheme="minorHAnsi" w:cstheme="minorHAnsi"/>
          <w:b/>
          <w:bCs/>
          <w:lang w:val="nl-NL"/>
        </w:rPr>
        <w:t>Volwassenen</w:t>
      </w:r>
      <w:r>
        <w:rPr>
          <w:rFonts w:asciiTheme="minorHAnsi" w:hAnsiTheme="minorHAnsi" w:cstheme="minorHAnsi"/>
          <w:b/>
          <w:bCs/>
          <w:lang w:val="nl-NL"/>
        </w:rPr>
        <w:t xml:space="preserve"> en </w:t>
      </w:r>
      <w:r w:rsidRPr="00322E86">
        <w:rPr>
          <w:rFonts w:asciiTheme="minorHAnsi" w:hAnsiTheme="minorHAnsi" w:cstheme="minorHAnsi"/>
          <w:b/>
          <w:bCs/>
          <w:lang w:val="nl-NL"/>
        </w:rPr>
        <w:t>kinderen</w:t>
      </w:r>
    </w:p>
    <w:p w14:paraId="52F4BDD5" w14:textId="5CCA8209" w:rsidR="003B50C5" w:rsidRDefault="003B50C5" w:rsidP="00636BAC">
      <w:pPr>
        <w:rPr>
          <w:rFonts w:asciiTheme="minorHAnsi" w:hAnsiTheme="minorHAnsi" w:cstheme="minorHAnsi"/>
          <w:lang w:val="nl-NL"/>
        </w:rPr>
      </w:pPr>
      <w:proofErr w:type="spellStart"/>
      <w:r w:rsidRPr="00322E86">
        <w:rPr>
          <w:rFonts w:asciiTheme="minorHAnsi" w:hAnsiTheme="minorHAnsi" w:cstheme="minorHAnsi"/>
          <w:lang w:val="nl-NL"/>
        </w:rPr>
        <w:t>Dalspiegel</w:t>
      </w:r>
      <w:proofErr w:type="spellEnd"/>
      <w:r>
        <w:rPr>
          <w:rFonts w:asciiTheme="minorHAnsi" w:hAnsiTheme="minorHAnsi" w:cstheme="minorHAnsi"/>
          <w:lang w:val="nl-NL"/>
        </w:rPr>
        <w:tab/>
      </w:r>
      <w:r>
        <w:rPr>
          <w:rFonts w:asciiTheme="minorHAnsi" w:hAnsiTheme="minorHAnsi" w:cstheme="minorHAnsi"/>
          <w:lang w:val="nl-NL"/>
        </w:rPr>
        <w:tab/>
      </w:r>
    </w:p>
    <w:p w14:paraId="32F475C5" w14:textId="77777777" w:rsidR="00481369" w:rsidRDefault="00481369" w:rsidP="00481369">
      <w:pPr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lang w:val="nl-NL"/>
        </w:rPr>
        <w:t>Ondergrens</w:t>
      </w:r>
      <w:r>
        <w:rPr>
          <w:rFonts w:asciiTheme="minorHAnsi" w:hAnsiTheme="minorHAnsi" w:cstheme="minorHAnsi"/>
          <w:lang w:val="nl-NL"/>
        </w:rPr>
        <w:tab/>
        <w:t xml:space="preserve">1.5 mg/L </w:t>
      </w:r>
      <w:r w:rsidRPr="00322E86">
        <w:rPr>
          <w:rFonts w:asciiTheme="minorHAnsi" w:hAnsiTheme="minorHAnsi" w:cstheme="minorHAnsi"/>
          <w:lang w:val="nl-NL"/>
        </w:rPr>
        <w:t>algemeen inclusief profylaxe</w:t>
      </w:r>
      <w:r>
        <w:rPr>
          <w:rFonts w:asciiTheme="minorHAnsi" w:hAnsiTheme="minorHAnsi" w:cstheme="minorHAnsi"/>
          <w:lang w:val="nl-NL"/>
        </w:rPr>
        <w:t xml:space="preserve"> </w:t>
      </w:r>
    </w:p>
    <w:p w14:paraId="6756C953" w14:textId="77777777" w:rsidR="00481369" w:rsidRDefault="00481369" w:rsidP="00481369">
      <w:pPr>
        <w:ind w:left="1410"/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lang w:val="nl-NL"/>
        </w:rPr>
        <w:t xml:space="preserve">2 mg/L </w:t>
      </w:r>
      <w:r w:rsidRPr="00322E86">
        <w:rPr>
          <w:rFonts w:asciiTheme="minorHAnsi" w:hAnsiTheme="minorHAnsi" w:cstheme="minorHAnsi"/>
          <w:lang w:val="nl-NL"/>
        </w:rPr>
        <w:t xml:space="preserve">gedissemineerde ziekte, moeilijk </w:t>
      </w:r>
      <w:proofErr w:type="spellStart"/>
      <w:r w:rsidRPr="00322E86">
        <w:rPr>
          <w:rFonts w:asciiTheme="minorHAnsi" w:hAnsiTheme="minorHAnsi" w:cstheme="minorHAnsi"/>
          <w:lang w:val="nl-NL"/>
        </w:rPr>
        <w:t>penetrabele</w:t>
      </w:r>
      <w:proofErr w:type="spellEnd"/>
      <w:r w:rsidRPr="00322E86">
        <w:rPr>
          <w:rFonts w:asciiTheme="minorHAnsi" w:hAnsiTheme="minorHAnsi" w:cstheme="minorHAnsi"/>
          <w:lang w:val="nl-NL"/>
        </w:rPr>
        <w:t xml:space="preserve"> gebieden (centraal zenuwstelsel), pathogenen met een verhoogde MIC (≥2mg/L)</w:t>
      </w:r>
      <w:r w:rsidRPr="00322E86">
        <w:rPr>
          <w:rFonts w:asciiTheme="minorHAnsi" w:hAnsiTheme="minorHAnsi" w:cstheme="minorHAnsi"/>
          <w:noProof/>
          <w:vertAlign w:val="superscript"/>
          <w:lang w:val="nl-NL"/>
        </w:rPr>
        <w:t xml:space="preserve"> 8</w:t>
      </w:r>
    </w:p>
    <w:p w14:paraId="07766F4A" w14:textId="77777777" w:rsidR="00481369" w:rsidRDefault="00481369" w:rsidP="00481369">
      <w:pPr>
        <w:rPr>
          <w:rFonts w:asciiTheme="minorHAnsi" w:hAnsiTheme="minorHAnsi" w:cstheme="minorHAnsi"/>
          <w:lang w:val="nl-NL"/>
        </w:rPr>
      </w:pPr>
    </w:p>
    <w:p w14:paraId="65982034" w14:textId="77777777" w:rsidR="00481369" w:rsidRDefault="00481369" w:rsidP="00481369">
      <w:pPr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lang w:val="nl-NL"/>
        </w:rPr>
        <w:t>Bovengrens</w:t>
      </w:r>
      <w:r>
        <w:rPr>
          <w:rFonts w:asciiTheme="minorHAnsi" w:hAnsiTheme="minorHAnsi" w:cstheme="minorHAnsi"/>
          <w:lang w:val="nl-NL"/>
        </w:rPr>
        <w:tab/>
        <w:t>6 mg/L standaard</w:t>
      </w:r>
    </w:p>
    <w:p w14:paraId="18185F2F" w14:textId="77777777" w:rsidR="00481369" w:rsidRDefault="00481369" w:rsidP="00481369">
      <w:pPr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lang w:val="nl-NL"/>
        </w:rPr>
        <w:tab/>
      </w:r>
      <w:r>
        <w:rPr>
          <w:rFonts w:asciiTheme="minorHAnsi" w:hAnsiTheme="minorHAnsi" w:cstheme="minorHAnsi"/>
          <w:lang w:val="nl-NL"/>
        </w:rPr>
        <w:tab/>
        <w:t xml:space="preserve">4 mg/L </w:t>
      </w:r>
      <w:r w:rsidRPr="00031F87">
        <w:rPr>
          <w:rFonts w:asciiTheme="minorHAnsi" w:hAnsiTheme="minorHAnsi" w:cstheme="minorHAnsi"/>
          <w:lang w:val="nl-NL"/>
        </w:rPr>
        <w:t xml:space="preserve">levercirrose Child </w:t>
      </w:r>
      <w:proofErr w:type="spellStart"/>
      <w:r w:rsidRPr="00031F87">
        <w:rPr>
          <w:rFonts w:asciiTheme="minorHAnsi" w:hAnsiTheme="minorHAnsi" w:cstheme="minorHAnsi"/>
          <w:lang w:val="nl-NL"/>
        </w:rPr>
        <w:t>Pugh</w:t>
      </w:r>
      <w:proofErr w:type="spellEnd"/>
      <w:r w:rsidRPr="00031F87">
        <w:rPr>
          <w:rFonts w:asciiTheme="minorHAnsi" w:hAnsiTheme="minorHAnsi" w:cstheme="minorHAnsi"/>
          <w:lang w:val="nl-NL"/>
        </w:rPr>
        <w:t xml:space="preserve"> A/B (bij Child </w:t>
      </w:r>
      <w:proofErr w:type="spellStart"/>
      <w:r w:rsidRPr="00031F87">
        <w:rPr>
          <w:rFonts w:asciiTheme="minorHAnsi" w:hAnsiTheme="minorHAnsi" w:cstheme="minorHAnsi"/>
          <w:lang w:val="nl-NL"/>
        </w:rPr>
        <w:t>Pugh</w:t>
      </w:r>
      <w:proofErr w:type="spellEnd"/>
      <w:r w:rsidRPr="00031F87">
        <w:rPr>
          <w:rFonts w:asciiTheme="minorHAnsi" w:hAnsiTheme="minorHAnsi" w:cstheme="minorHAnsi"/>
          <w:lang w:val="nl-NL"/>
        </w:rPr>
        <w:t xml:space="preserve"> C </w:t>
      </w:r>
      <w:proofErr w:type="spellStart"/>
      <w:r w:rsidRPr="00031F87">
        <w:rPr>
          <w:rFonts w:asciiTheme="minorHAnsi" w:hAnsiTheme="minorHAnsi" w:cstheme="minorHAnsi"/>
          <w:lang w:val="nl-NL"/>
        </w:rPr>
        <w:t>voriconazol</w:t>
      </w:r>
      <w:proofErr w:type="spellEnd"/>
      <w:r w:rsidRPr="00031F87">
        <w:rPr>
          <w:rFonts w:asciiTheme="minorHAnsi" w:hAnsiTheme="minorHAnsi" w:cstheme="minorHAnsi"/>
          <w:lang w:val="nl-NL"/>
        </w:rPr>
        <w:t xml:space="preserve"> niet voorschrijven)</w:t>
      </w:r>
    </w:p>
    <w:p w14:paraId="7A083DF3" w14:textId="77777777" w:rsidR="00481369" w:rsidRDefault="00481369" w:rsidP="00481369">
      <w:pPr>
        <w:rPr>
          <w:rFonts w:asciiTheme="minorHAnsi" w:hAnsiTheme="minorHAnsi" w:cstheme="minorHAnsi"/>
          <w:lang w:val="nl-NL"/>
        </w:rPr>
      </w:pPr>
    </w:p>
    <w:p w14:paraId="293D961B" w14:textId="77777777" w:rsidR="00481369" w:rsidRDefault="00481369" w:rsidP="00481369">
      <w:pPr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lang w:val="nl-NL"/>
        </w:rPr>
        <w:t>Denk bij onverwachte resultaten onder andere aan mogelijke CYP2C19 variatie.</w:t>
      </w:r>
    </w:p>
    <w:p w14:paraId="2AAB2F11" w14:textId="77777777" w:rsidR="003B50C5" w:rsidRDefault="003B50C5" w:rsidP="002B7186">
      <w:pPr>
        <w:rPr>
          <w:rFonts w:asciiTheme="minorHAnsi" w:hAnsiTheme="minorHAnsi" w:cstheme="minorHAnsi"/>
          <w:lang w:val="nl-NL"/>
        </w:rPr>
      </w:pPr>
    </w:p>
    <w:p w14:paraId="04396ED4" w14:textId="77777777" w:rsidR="003B50C5" w:rsidRPr="00322E86" w:rsidRDefault="003B50C5" w:rsidP="002B7186">
      <w:pPr>
        <w:rPr>
          <w:rFonts w:asciiTheme="minorHAnsi" w:hAnsiTheme="minorHAnsi" w:cstheme="minorHAnsi"/>
          <w:lang w:val="nl-NL"/>
        </w:rPr>
      </w:pPr>
      <w:r w:rsidRPr="003B50C5">
        <w:rPr>
          <w:rFonts w:asciiTheme="minorHAnsi" w:hAnsiTheme="minorHAnsi" w:cstheme="minorHAnsi"/>
          <w:sz w:val="28"/>
          <w:szCs w:val="28"/>
          <w:lang w:val="nl-NL"/>
        </w:rPr>
        <w:t>Literatuur</w:t>
      </w:r>
    </w:p>
    <w:p w14:paraId="2A5D71B7" w14:textId="77777777" w:rsidR="003B50C5" w:rsidRPr="003B50C5" w:rsidRDefault="003B50C5" w:rsidP="003B50C5">
      <w:pPr>
        <w:rPr>
          <w:rFonts w:asciiTheme="minorHAnsi" w:hAnsiTheme="minorHAnsi" w:cstheme="minorHAnsi"/>
          <w:lang w:val="nl-NL"/>
        </w:rPr>
      </w:pPr>
      <w:r w:rsidRPr="003B50C5">
        <w:rPr>
          <w:rFonts w:asciiTheme="minorHAnsi" w:hAnsiTheme="minorHAnsi" w:cstheme="minorHAnsi"/>
          <w:lang w:val="nl-NL"/>
        </w:rPr>
        <w:t>1.</w:t>
      </w:r>
      <w:r w:rsidRPr="003B50C5">
        <w:rPr>
          <w:rFonts w:asciiTheme="minorHAnsi" w:hAnsiTheme="minorHAnsi" w:cstheme="minorHAnsi"/>
          <w:lang w:val="nl-NL"/>
        </w:rPr>
        <w:tab/>
      </w:r>
      <w:proofErr w:type="spellStart"/>
      <w:r w:rsidRPr="003B50C5">
        <w:rPr>
          <w:rFonts w:asciiTheme="minorHAnsi" w:hAnsiTheme="minorHAnsi" w:cstheme="minorHAnsi"/>
          <w:lang w:val="nl-NL"/>
        </w:rPr>
        <w:t>Seyedmousavi</w:t>
      </w:r>
      <w:proofErr w:type="spellEnd"/>
      <w:r w:rsidRPr="003B50C5">
        <w:rPr>
          <w:rFonts w:asciiTheme="minorHAnsi" w:hAnsiTheme="minorHAnsi" w:cstheme="minorHAnsi"/>
          <w:lang w:val="nl-NL"/>
        </w:rPr>
        <w:t xml:space="preserve"> S, </w:t>
      </w:r>
      <w:proofErr w:type="spellStart"/>
      <w:r w:rsidRPr="003B50C5">
        <w:rPr>
          <w:rFonts w:asciiTheme="minorHAnsi" w:hAnsiTheme="minorHAnsi" w:cstheme="minorHAnsi"/>
          <w:lang w:val="nl-NL"/>
        </w:rPr>
        <w:t>Mouton</w:t>
      </w:r>
      <w:proofErr w:type="spellEnd"/>
      <w:r w:rsidRPr="003B50C5">
        <w:rPr>
          <w:rFonts w:asciiTheme="minorHAnsi" w:hAnsiTheme="minorHAnsi" w:cstheme="minorHAnsi"/>
          <w:lang w:val="nl-NL"/>
        </w:rPr>
        <w:t xml:space="preserve"> JW, Melchers WJ, </w:t>
      </w:r>
      <w:proofErr w:type="spellStart"/>
      <w:r w:rsidRPr="003B50C5">
        <w:rPr>
          <w:rFonts w:asciiTheme="minorHAnsi" w:hAnsiTheme="minorHAnsi" w:cstheme="minorHAnsi"/>
          <w:lang w:val="nl-NL"/>
        </w:rPr>
        <w:t>Bruggemann</w:t>
      </w:r>
      <w:proofErr w:type="spellEnd"/>
      <w:r w:rsidRPr="003B50C5">
        <w:rPr>
          <w:rFonts w:asciiTheme="minorHAnsi" w:hAnsiTheme="minorHAnsi" w:cstheme="minorHAnsi"/>
          <w:lang w:val="nl-NL"/>
        </w:rPr>
        <w:t xml:space="preserve"> RJ, Verweij PE. </w:t>
      </w:r>
      <w:r w:rsidRPr="00180F7D">
        <w:rPr>
          <w:rFonts w:asciiTheme="minorHAnsi" w:hAnsiTheme="minorHAnsi" w:cstheme="minorHAnsi"/>
        </w:rPr>
        <w:t xml:space="preserve">The role of azoles in the management of azole-resistant aspergillosis: from the bench to the bedside. </w:t>
      </w:r>
      <w:r w:rsidRPr="003B50C5">
        <w:rPr>
          <w:rFonts w:asciiTheme="minorHAnsi" w:hAnsiTheme="minorHAnsi" w:cstheme="minorHAnsi"/>
          <w:lang w:val="nl-NL"/>
        </w:rPr>
        <w:t xml:space="preserve">Drug </w:t>
      </w:r>
      <w:proofErr w:type="spellStart"/>
      <w:r w:rsidRPr="003B50C5">
        <w:rPr>
          <w:rFonts w:asciiTheme="minorHAnsi" w:hAnsiTheme="minorHAnsi" w:cstheme="minorHAnsi"/>
          <w:lang w:val="nl-NL"/>
        </w:rPr>
        <w:t>Resist</w:t>
      </w:r>
      <w:proofErr w:type="spellEnd"/>
      <w:r w:rsidRPr="003B50C5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3B50C5">
        <w:rPr>
          <w:rFonts w:asciiTheme="minorHAnsi" w:hAnsiTheme="minorHAnsi" w:cstheme="minorHAnsi"/>
          <w:lang w:val="nl-NL"/>
        </w:rPr>
        <w:t>Updat</w:t>
      </w:r>
      <w:proofErr w:type="spellEnd"/>
      <w:r w:rsidRPr="003B50C5">
        <w:rPr>
          <w:rFonts w:asciiTheme="minorHAnsi" w:hAnsiTheme="minorHAnsi" w:cstheme="minorHAnsi"/>
          <w:lang w:val="nl-NL"/>
        </w:rPr>
        <w:t xml:space="preserve"> 2014; 17(3): 37-50.</w:t>
      </w:r>
    </w:p>
    <w:p w14:paraId="5DE043E2" w14:textId="77777777" w:rsidR="003B50C5" w:rsidRPr="00180F7D" w:rsidRDefault="003B50C5" w:rsidP="003B50C5">
      <w:pPr>
        <w:rPr>
          <w:rFonts w:asciiTheme="minorHAnsi" w:hAnsiTheme="minorHAnsi" w:cstheme="minorHAnsi"/>
        </w:rPr>
      </w:pPr>
      <w:r w:rsidRPr="003B50C5">
        <w:rPr>
          <w:rFonts w:asciiTheme="minorHAnsi" w:hAnsiTheme="minorHAnsi" w:cstheme="minorHAnsi"/>
          <w:lang w:val="nl-NL"/>
        </w:rPr>
        <w:t>2.</w:t>
      </w:r>
      <w:r w:rsidRPr="003B50C5">
        <w:rPr>
          <w:rFonts w:asciiTheme="minorHAnsi" w:hAnsiTheme="minorHAnsi" w:cstheme="minorHAnsi"/>
          <w:lang w:val="nl-NL"/>
        </w:rPr>
        <w:tab/>
        <w:t xml:space="preserve">Park WB, Kim NH, Kim KH, et al. </w:t>
      </w:r>
      <w:r w:rsidRPr="00180F7D">
        <w:rPr>
          <w:rFonts w:asciiTheme="minorHAnsi" w:hAnsiTheme="minorHAnsi" w:cstheme="minorHAnsi"/>
        </w:rPr>
        <w:t>The effect of therapeutic drug monitoring on safety and efficacy of voriconazole in invasive fungal infections: a randomized controlled trial. Clin Infect Dis 2012; 55(8): 1080-7.</w:t>
      </w:r>
    </w:p>
    <w:p w14:paraId="7F991D19" w14:textId="77777777" w:rsidR="003B50C5" w:rsidRPr="00180F7D" w:rsidRDefault="003B50C5" w:rsidP="003B50C5">
      <w:pPr>
        <w:rPr>
          <w:rFonts w:asciiTheme="minorHAnsi" w:hAnsiTheme="minorHAnsi" w:cstheme="minorHAnsi"/>
        </w:rPr>
      </w:pPr>
      <w:r w:rsidRPr="00180F7D">
        <w:rPr>
          <w:rFonts w:asciiTheme="minorHAnsi" w:hAnsiTheme="minorHAnsi" w:cstheme="minorHAnsi"/>
        </w:rPr>
        <w:t>3.</w:t>
      </w:r>
      <w:r w:rsidRPr="00180F7D">
        <w:rPr>
          <w:rFonts w:asciiTheme="minorHAnsi" w:hAnsiTheme="minorHAnsi" w:cstheme="minorHAnsi"/>
        </w:rPr>
        <w:tab/>
        <w:t>Luong ML, Al-</w:t>
      </w:r>
      <w:proofErr w:type="spellStart"/>
      <w:r w:rsidRPr="00180F7D">
        <w:rPr>
          <w:rFonts w:asciiTheme="minorHAnsi" w:hAnsiTheme="minorHAnsi" w:cstheme="minorHAnsi"/>
        </w:rPr>
        <w:t>Dabbagh</w:t>
      </w:r>
      <w:proofErr w:type="spellEnd"/>
      <w:r w:rsidRPr="00180F7D">
        <w:rPr>
          <w:rFonts w:asciiTheme="minorHAnsi" w:hAnsiTheme="minorHAnsi" w:cstheme="minorHAnsi"/>
        </w:rPr>
        <w:t xml:space="preserve"> M, </w:t>
      </w:r>
      <w:proofErr w:type="spellStart"/>
      <w:r w:rsidRPr="00180F7D">
        <w:rPr>
          <w:rFonts w:asciiTheme="minorHAnsi" w:hAnsiTheme="minorHAnsi" w:cstheme="minorHAnsi"/>
        </w:rPr>
        <w:t>Groll</w:t>
      </w:r>
      <w:proofErr w:type="spellEnd"/>
      <w:r w:rsidRPr="00180F7D">
        <w:rPr>
          <w:rFonts w:asciiTheme="minorHAnsi" w:hAnsiTheme="minorHAnsi" w:cstheme="minorHAnsi"/>
        </w:rPr>
        <w:t xml:space="preserve"> AH, et al. Utility of voriconazole therapeutic drug monitoring: a meta-analysis. J </w:t>
      </w:r>
      <w:proofErr w:type="spellStart"/>
      <w:r w:rsidRPr="00180F7D">
        <w:rPr>
          <w:rFonts w:asciiTheme="minorHAnsi" w:hAnsiTheme="minorHAnsi" w:cstheme="minorHAnsi"/>
        </w:rPr>
        <w:t>Antimicrob</w:t>
      </w:r>
      <w:proofErr w:type="spellEnd"/>
      <w:r w:rsidRPr="00180F7D">
        <w:rPr>
          <w:rFonts w:asciiTheme="minorHAnsi" w:hAnsiTheme="minorHAnsi" w:cstheme="minorHAnsi"/>
        </w:rPr>
        <w:t xml:space="preserve"> </w:t>
      </w:r>
      <w:proofErr w:type="spellStart"/>
      <w:r w:rsidRPr="00180F7D">
        <w:rPr>
          <w:rFonts w:asciiTheme="minorHAnsi" w:hAnsiTheme="minorHAnsi" w:cstheme="minorHAnsi"/>
        </w:rPr>
        <w:t>Chemother</w:t>
      </w:r>
      <w:proofErr w:type="spellEnd"/>
      <w:r w:rsidRPr="00180F7D">
        <w:rPr>
          <w:rFonts w:asciiTheme="minorHAnsi" w:hAnsiTheme="minorHAnsi" w:cstheme="minorHAnsi"/>
        </w:rPr>
        <w:t xml:space="preserve"> 2016; 71(7): 1786-99.</w:t>
      </w:r>
    </w:p>
    <w:p w14:paraId="2FFE4CC8" w14:textId="77777777" w:rsidR="003B50C5" w:rsidRPr="00180F7D" w:rsidRDefault="003B50C5" w:rsidP="003B50C5">
      <w:pPr>
        <w:rPr>
          <w:rFonts w:asciiTheme="minorHAnsi" w:hAnsiTheme="minorHAnsi" w:cstheme="minorHAnsi"/>
        </w:rPr>
      </w:pPr>
      <w:r w:rsidRPr="00180F7D">
        <w:rPr>
          <w:rFonts w:asciiTheme="minorHAnsi" w:hAnsiTheme="minorHAnsi" w:cstheme="minorHAnsi"/>
        </w:rPr>
        <w:t>4.</w:t>
      </w:r>
      <w:r w:rsidRPr="00180F7D">
        <w:rPr>
          <w:rFonts w:asciiTheme="minorHAnsi" w:hAnsiTheme="minorHAnsi" w:cstheme="minorHAnsi"/>
        </w:rPr>
        <w:tab/>
        <w:t xml:space="preserve">Li H, Li M, Yan J, et al. Voriconazole therapeutic drug monitoring in critically ill patients improves efficacy and safety of antifungal therapy. Basic Clin </w:t>
      </w:r>
      <w:proofErr w:type="spellStart"/>
      <w:r w:rsidRPr="00180F7D">
        <w:rPr>
          <w:rFonts w:asciiTheme="minorHAnsi" w:hAnsiTheme="minorHAnsi" w:cstheme="minorHAnsi"/>
        </w:rPr>
        <w:t>Pharmacol</w:t>
      </w:r>
      <w:proofErr w:type="spellEnd"/>
      <w:r w:rsidRPr="00180F7D">
        <w:rPr>
          <w:rFonts w:asciiTheme="minorHAnsi" w:hAnsiTheme="minorHAnsi" w:cstheme="minorHAnsi"/>
        </w:rPr>
        <w:t xml:space="preserve"> </w:t>
      </w:r>
      <w:proofErr w:type="spellStart"/>
      <w:r w:rsidRPr="00180F7D">
        <w:rPr>
          <w:rFonts w:asciiTheme="minorHAnsi" w:hAnsiTheme="minorHAnsi" w:cstheme="minorHAnsi"/>
        </w:rPr>
        <w:t>Toxicol</w:t>
      </w:r>
      <w:proofErr w:type="spellEnd"/>
      <w:r w:rsidRPr="00180F7D">
        <w:rPr>
          <w:rFonts w:asciiTheme="minorHAnsi" w:hAnsiTheme="minorHAnsi" w:cstheme="minorHAnsi"/>
        </w:rPr>
        <w:t xml:space="preserve"> 2020; 127(6): 495-504.</w:t>
      </w:r>
    </w:p>
    <w:p w14:paraId="49D46282" w14:textId="77777777" w:rsidR="003B50C5" w:rsidRPr="00180F7D" w:rsidRDefault="003B50C5" w:rsidP="003B50C5">
      <w:pPr>
        <w:rPr>
          <w:rFonts w:asciiTheme="minorHAnsi" w:hAnsiTheme="minorHAnsi" w:cstheme="minorHAnsi"/>
        </w:rPr>
      </w:pPr>
      <w:r w:rsidRPr="00180F7D">
        <w:rPr>
          <w:rFonts w:asciiTheme="minorHAnsi" w:hAnsiTheme="minorHAnsi" w:cstheme="minorHAnsi"/>
        </w:rPr>
        <w:t>5.</w:t>
      </w:r>
      <w:r w:rsidRPr="00180F7D">
        <w:rPr>
          <w:rFonts w:asciiTheme="minorHAnsi" w:hAnsiTheme="minorHAnsi" w:cstheme="minorHAnsi"/>
        </w:rPr>
        <w:tab/>
        <w:t xml:space="preserve">Neely M, Rushing T, Kovacs A, </w:t>
      </w:r>
      <w:proofErr w:type="spellStart"/>
      <w:r w:rsidRPr="00180F7D">
        <w:rPr>
          <w:rFonts w:asciiTheme="minorHAnsi" w:hAnsiTheme="minorHAnsi" w:cstheme="minorHAnsi"/>
        </w:rPr>
        <w:t>Jelliffe</w:t>
      </w:r>
      <w:proofErr w:type="spellEnd"/>
      <w:r w:rsidRPr="00180F7D">
        <w:rPr>
          <w:rFonts w:asciiTheme="minorHAnsi" w:hAnsiTheme="minorHAnsi" w:cstheme="minorHAnsi"/>
        </w:rPr>
        <w:t xml:space="preserve"> R, Hoffman J. Voriconazole pharmacokinetics and pharmacodynamics in children. Clin Infect Dis 2010; 50(1): 27-36.</w:t>
      </w:r>
    </w:p>
    <w:p w14:paraId="73D3E47F" w14:textId="77777777" w:rsidR="003B50C5" w:rsidRPr="00180F7D" w:rsidRDefault="003B50C5" w:rsidP="003B50C5">
      <w:pPr>
        <w:rPr>
          <w:rFonts w:asciiTheme="minorHAnsi" w:hAnsiTheme="minorHAnsi" w:cstheme="minorHAnsi"/>
        </w:rPr>
      </w:pPr>
      <w:r w:rsidRPr="00180F7D">
        <w:rPr>
          <w:rFonts w:asciiTheme="minorHAnsi" w:hAnsiTheme="minorHAnsi" w:cstheme="minorHAnsi"/>
        </w:rPr>
        <w:t>6.</w:t>
      </w:r>
      <w:r w:rsidRPr="00180F7D">
        <w:rPr>
          <w:rFonts w:asciiTheme="minorHAnsi" w:hAnsiTheme="minorHAnsi" w:cstheme="minorHAnsi"/>
        </w:rPr>
        <w:tab/>
      </w:r>
      <w:proofErr w:type="spellStart"/>
      <w:r w:rsidRPr="00180F7D">
        <w:rPr>
          <w:rFonts w:asciiTheme="minorHAnsi" w:hAnsiTheme="minorHAnsi" w:cstheme="minorHAnsi"/>
        </w:rPr>
        <w:t>Hanai</w:t>
      </w:r>
      <w:proofErr w:type="spellEnd"/>
      <w:r w:rsidRPr="00180F7D">
        <w:rPr>
          <w:rFonts w:asciiTheme="minorHAnsi" w:hAnsiTheme="minorHAnsi" w:cstheme="minorHAnsi"/>
        </w:rPr>
        <w:t xml:space="preserve"> Y, Hamada Y, Kimura T, et al. Optimal trough concentration of voriconazole with therapeutic drug monitoring in children: A systematic review and meta-analysis. J Infect </w:t>
      </w:r>
      <w:proofErr w:type="spellStart"/>
      <w:r w:rsidRPr="00180F7D">
        <w:rPr>
          <w:rFonts w:asciiTheme="minorHAnsi" w:hAnsiTheme="minorHAnsi" w:cstheme="minorHAnsi"/>
        </w:rPr>
        <w:t>Chemother</w:t>
      </w:r>
      <w:proofErr w:type="spellEnd"/>
      <w:r w:rsidRPr="00180F7D">
        <w:rPr>
          <w:rFonts w:asciiTheme="minorHAnsi" w:hAnsiTheme="minorHAnsi" w:cstheme="minorHAnsi"/>
        </w:rPr>
        <w:t xml:space="preserve"> 2021; 27(2): 151-60.</w:t>
      </w:r>
    </w:p>
    <w:p w14:paraId="22F1E316" w14:textId="77777777" w:rsidR="003B50C5" w:rsidRPr="00180F7D" w:rsidRDefault="003B50C5" w:rsidP="003B50C5">
      <w:pPr>
        <w:rPr>
          <w:rFonts w:asciiTheme="minorHAnsi" w:hAnsiTheme="minorHAnsi" w:cstheme="minorHAnsi"/>
        </w:rPr>
      </w:pPr>
      <w:r w:rsidRPr="00180F7D">
        <w:rPr>
          <w:rFonts w:asciiTheme="minorHAnsi" w:hAnsiTheme="minorHAnsi" w:cstheme="minorHAnsi"/>
        </w:rPr>
        <w:t>7.</w:t>
      </w:r>
      <w:r w:rsidRPr="00180F7D">
        <w:rPr>
          <w:rFonts w:asciiTheme="minorHAnsi" w:hAnsiTheme="minorHAnsi" w:cstheme="minorHAnsi"/>
        </w:rPr>
        <w:tab/>
        <w:t>Soler-</w:t>
      </w:r>
      <w:proofErr w:type="spellStart"/>
      <w:r w:rsidRPr="00180F7D">
        <w:rPr>
          <w:rFonts w:asciiTheme="minorHAnsi" w:hAnsiTheme="minorHAnsi" w:cstheme="minorHAnsi"/>
        </w:rPr>
        <w:t>Palacin</w:t>
      </w:r>
      <w:proofErr w:type="spellEnd"/>
      <w:r w:rsidRPr="00180F7D">
        <w:rPr>
          <w:rFonts w:asciiTheme="minorHAnsi" w:hAnsiTheme="minorHAnsi" w:cstheme="minorHAnsi"/>
        </w:rPr>
        <w:t xml:space="preserve"> P, Frick MA, Martin-</w:t>
      </w:r>
      <w:proofErr w:type="spellStart"/>
      <w:r w:rsidRPr="00180F7D">
        <w:rPr>
          <w:rFonts w:asciiTheme="minorHAnsi" w:hAnsiTheme="minorHAnsi" w:cstheme="minorHAnsi"/>
        </w:rPr>
        <w:t>Nalda</w:t>
      </w:r>
      <w:proofErr w:type="spellEnd"/>
      <w:r w:rsidRPr="00180F7D">
        <w:rPr>
          <w:rFonts w:asciiTheme="minorHAnsi" w:hAnsiTheme="minorHAnsi" w:cstheme="minorHAnsi"/>
        </w:rPr>
        <w:t xml:space="preserve"> A, et al. Voriconazole drug monitoring in the management of invasive fungal infection in immunocompromised children: a prospective study. J </w:t>
      </w:r>
      <w:proofErr w:type="spellStart"/>
      <w:r w:rsidRPr="00180F7D">
        <w:rPr>
          <w:rFonts w:asciiTheme="minorHAnsi" w:hAnsiTheme="minorHAnsi" w:cstheme="minorHAnsi"/>
        </w:rPr>
        <w:t>Antimicrob</w:t>
      </w:r>
      <w:proofErr w:type="spellEnd"/>
      <w:r w:rsidRPr="00180F7D">
        <w:rPr>
          <w:rFonts w:asciiTheme="minorHAnsi" w:hAnsiTheme="minorHAnsi" w:cstheme="minorHAnsi"/>
        </w:rPr>
        <w:t xml:space="preserve"> </w:t>
      </w:r>
      <w:proofErr w:type="spellStart"/>
      <w:r w:rsidRPr="00180F7D">
        <w:rPr>
          <w:rFonts w:asciiTheme="minorHAnsi" w:hAnsiTheme="minorHAnsi" w:cstheme="minorHAnsi"/>
        </w:rPr>
        <w:t>Chemother</w:t>
      </w:r>
      <w:proofErr w:type="spellEnd"/>
      <w:r w:rsidRPr="00180F7D">
        <w:rPr>
          <w:rFonts w:asciiTheme="minorHAnsi" w:hAnsiTheme="minorHAnsi" w:cstheme="minorHAnsi"/>
        </w:rPr>
        <w:t xml:space="preserve"> 2012; 67(3): 700-6.</w:t>
      </w:r>
    </w:p>
    <w:p w14:paraId="34A17BB7" w14:textId="77777777" w:rsidR="003B50C5" w:rsidRPr="00180F7D" w:rsidRDefault="003B50C5" w:rsidP="003B50C5">
      <w:pPr>
        <w:rPr>
          <w:rFonts w:asciiTheme="minorHAnsi" w:hAnsiTheme="minorHAnsi" w:cstheme="minorHAnsi"/>
        </w:rPr>
      </w:pPr>
      <w:r w:rsidRPr="00180F7D">
        <w:rPr>
          <w:rFonts w:asciiTheme="minorHAnsi" w:hAnsiTheme="minorHAnsi" w:cstheme="minorHAnsi"/>
        </w:rPr>
        <w:t>8.</w:t>
      </w:r>
      <w:r w:rsidRPr="00180F7D">
        <w:rPr>
          <w:rFonts w:asciiTheme="minorHAnsi" w:hAnsiTheme="minorHAnsi" w:cstheme="minorHAnsi"/>
        </w:rPr>
        <w:tab/>
        <w:t xml:space="preserve">Ullmann AJ, </w:t>
      </w:r>
      <w:proofErr w:type="spellStart"/>
      <w:r w:rsidRPr="00180F7D">
        <w:rPr>
          <w:rFonts w:asciiTheme="minorHAnsi" w:hAnsiTheme="minorHAnsi" w:cstheme="minorHAnsi"/>
        </w:rPr>
        <w:t>Aguado</w:t>
      </w:r>
      <w:proofErr w:type="spellEnd"/>
      <w:r w:rsidRPr="00180F7D">
        <w:rPr>
          <w:rFonts w:asciiTheme="minorHAnsi" w:hAnsiTheme="minorHAnsi" w:cstheme="minorHAnsi"/>
        </w:rPr>
        <w:t xml:space="preserve"> JM, </w:t>
      </w:r>
      <w:proofErr w:type="spellStart"/>
      <w:r w:rsidRPr="00180F7D">
        <w:rPr>
          <w:rFonts w:asciiTheme="minorHAnsi" w:hAnsiTheme="minorHAnsi" w:cstheme="minorHAnsi"/>
        </w:rPr>
        <w:t>Arikan-Akdagli</w:t>
      </w:r>
      <w:proofErr w:type="spellEnd"/>
      <w:r w:rsidRPr="00180F7D">
        <w:rPr>
          <w:rFonts w:asciiTheme="minorHAnsi" w:hAnsiTheme="minorHAnsi" w:cstheme="minorHAnsi"/>
        </w:rPr>
        <w:t xml:space="preserve"> S, et al. Diagnosis and management of Aspergillus diseases: executive summary of the 2017 ESCMID-ECMM-ERS guideline. Clin </w:t>
      </w:r>
      <w:proofErr w:type="spellStart"/>
      <w:r w:rsidRPr="00180F7D">
        <w:rPr>
          <w:rFonts w:asciiTheme="minorHAnsi" w:hAnsiTheme="minorHAnsi" w:cstheme="minorHAnsi"/>
        </w:rPr>
        <w:t>Microbiol</w:t>
      </w:r>
      <w:proofErr w:type="spellEnd"/>
      <w:r w:rsidRPr="00180F7D">
        <w:rPr>
          <w:rFonts w:asciiTheme="minorHAnsi" w:hAnsiTheme="minorHAnsi" w:cstheme="minorHAnsi"/>
        </w:rPr>
        <w:t xml:space="preserve"> Infect 2018; 24 Suppl 1: e1-e38.</w:t>
      </w:r>
    </w:p>
    <w:p w14:paraId="3213E237" w14:textId="77777777" w:rsidR="003B50C5" w:rsidRPr="00180F7D" w:rsidRDefault="003B50C5" w:rsidP="003B50C5">
      <w:pPr>
        <w:rPr>
          <w:rFonts w:asciiTheme="minorHAnsi" w:hAnsiTheme="minorHAnsi" w:cstheme="minorHAnsi"/>
        </w:rPr>
      </w:pPr>
      <w:r w:rsidRPr="00180F7D">
        <w:rPr>
          <w:rFonts w:asciiTheme="minorHAnsi" w:hAnsiTheme="minorHAnsi" w:cstheme="minorHAnsi"/>
        </w:rPr>
        <w:t>9.</w:t>
      </w:r>
      <w:r w:rsidRPr="00180F7D">
        <w:rPr>
          <w:rFonts w:asciiTheme="minorHAnsi" w:hAnsiTheme="minorHAnsi" w:cstheme="minorHAnsi"/>
        </w:rPr>
        <w:tab/>
        <w:t>Boyd AE, Modi S, Howard SJ, Moore CB, Keevil BG, Denning DW. Adverse reactions to voriconazole. Clin Infect Dis 2004; 39(8): 1241-4.</w:t>
      </w:r>
    </w:p>
    <w:p w14:paraId="3FDA1D70" w14:textId="77777777" w:rsidR="003B50C5" w:rsidRPr="00180F7D" w:rsidRDefault="003B50C5" w:rsidP="003B50C5">
      <w:pPr>
        <w:rPr>
          <w:rFonts w:asciiTheme="minorHAnsi" w:hAnsiTheme="minorHAnsi" w:cstheme="minorHAnsi"/>
        </w:rPr>
      </w:pPr>
      <w:r w:rsidRPr="00180F7D">
        <w:rPr>
          <w:rFonts w:asciiTheme="minorHAnsi" w:hAnsiTheme="minorHAnsi" w:cstheme="minorHAnsi"/>
        </w:rPr>
        <w:t>10.</w:t>
      </w:r>
      <w:r w:rsidRPr="00180F7D">
        <w:rPr>
          <w:rFonts w:asciiTheme="minorHAnsi" w:hAnsiTheme="minorHAnsi" w:cstheme="minorHAnsi"/>
        </w:rPr>
        <w:tab/>
      </w:r>
      <w:proofErr w:type="spellStart"/>
      <w:r w:rsidRPr="00180F7D">
        <w:rPr>
          <w:rFonts w:asciiTheme="minorHAnsi" w:hAnsiTheme="minorHAnsi" w:cstheme="minorHAnsi"/>
        </w:rPr>
        <w:t>Imhof</w:t>
      </w:r>
      <w:proofErr w:type="spellEnd"/>
      <w:r w:rsidRPr="00180F7D">
        <w:rPr>
          <w:rFonts w:asciiTheme="minorHAnsi" w:hAnsiTheme="minorHAnsi" w:cstheme="minorHAnsi"/>
        </w:rPr>
        <w:t xml:space="preserve"> A, </w:t>
      </w:r>
      <w:proofErr w:type="spellStart"/>
      <w:r w:rsidRPr="00180F7D">
        <w:rPr>
          <w:rFonts w:asciiTheme="minorHAnsi" w:hAnsiTheme="minorHAnsi" w:cstheme="minorHAnsi"/>
        </w:rPr>
        <w:t>Schaer</w:t>
      </w:r>
      <w:proofErr w:type="spellEnd"/>
      <w:r w:rsidRPr="00180F7D">
        <w:rPr>
          <w:rFonts w:asciiTheme="minorHAnsi" w:hAnsiTheme="minorHAnsi" w:cstheme="minorHAnsi"/>
        </w:rPr>
        <w:t xml:space="preserve"> DJ, </w:t>
      </w:r>
      <w:proofErr w:type="spellStart"/>
      <w:r w:rsidRPr="00180F7D">
        <w:rPr>
          <w:rFonts w:asciiTheme="minorHAnsi" w:hAnsiTheme="minorHAnsi" w:cstheme="minorHAnsi"/>
        </w:rPr>
        <w:t>Schanz</w:t>
      </w:r>
      <w:proofErr w:type="spellEnd"/>
      <w:r w:rsidRPr="00180F7D">
        <w:rPr>
          <w:rFonts w:asciiTheme="minorHAnsi" w:hAnsiTheme="minorHAnsi" w:cstheme="minorHAnsi"/>
        </w:rPr>
        <w:t xml:space="preserve"> U, Schwarz U. Neurological adverse events to voriconazole: evidence for therapeutic drug monitoring. Swiss Med </w:t>
      </w:r>
      <w:proofErr w:type="spellStart"/>
      <w:r w:rsidRPr="00180F7D">
        <w:rPr>
          <w:rFonts w:asciiTheme="minorHAnsi" w:hAnsiTheme="minorHAnsi" w:cstheme="minorHAnsi"/>
        </w:rPr>
        <w:t>Wkly</w:t>
      </w:r>
      <w:proofErr w:type="spellEnd"/>
      <w:r w:rsidRPr="00180F7D">
        <w:rPr>
          <w:rFonts w:asciiTheme="minorHAnsi" w:hAnsiTheme="minorHAnsi" w:cstheme="minorHAnsi"/>
        </w:rPr>
        <w:t xml:space="preserve"> 2006; 136(45-46): 739-42.</w:t>
      </w:r>
    </w:p>
    <w:p w14:paraId="2DA83A24" w14:textId="77777777" w:rsidR="003B50C5" w:rsidRPr="00180F7D" w:rsidRDefault="003B50C5" w:rsidP="003B50C5">
      <w:pPr>
        <w:rPr>
          <w:rFonts w:asciiTheme="minorHAnsi" w:hAnsiTheme="minorHAnsi" w:cstheme="minorHAnsi"/>
        </w:rPr>
      </w:pPr>
      <w:r w:rsidRPr="00180F7D">
        <w:rPr>
          <w:rFonts w:asciiTheme="minorHAnsi" w:hAnsiTheme="minorHAnsi" w:cstheme="minorHAnsi"/>
        </w:rPr>
        <w:lastRenderedPageBreak/>
        <w:t>11.</w:t>
      </w:r>
      <w:r w:rsidRPr="00180F7D">
        <w:rPr>
          <w:rFonts w:asciiTheme="minorHAnsi" w:hAnsiTheme="minorHAnsi" w:cstheme="minorHAnsi"/>
        </w:rPr>
        <w:tab/>
        <w:t xml:space="preserve">Tan K, </w:t>
      </w:r>
      <w:proofErr w:type="spellStart"/>
      <w:r w:rsidRPr="00180F7D">
        <w:rPr>
          <w:rFonts w:asciiTheme="minorHAnsi" w:hAnsiTheme="minorHAnsi" w:cstheme="minorHAnsi"/>
        </w:rPr>
        <w:t>Brayshaw</w:t>
      </w:r>
      <w:proofErr w:type="spellEnd"/>
      <w:r w:rsidRPr="00180F7D">
        <w:rPr>
          <w:rFonts w:asciiTheme="minorHAnsi" w:hAnsiTheme="minorHAnsi" w:cstheme="minorHAnsi"/>
        </w:rPr>
        <w:t xml:space="preserve"> N, </w:t>
      </w:r>
      <w:proofErr w:type="spellStart"/>
      <w:r w:rsidRPr="00180F7D">
        <w:rPr>
          <w:rFonts w:asciiTheme="minorHAnsi" w:hAnsiTheme="minorHAnsi" w:cstheme="minorHAnsi"/>
        </w:rPr>
        <w:t>Tomaszweski</w:t>
      </w:r>
      <w:proofErr w:type="spellEnd"/>
      <w:r w:rsidRPr="00180F7D">
        <w:rPr>
          <w:rFonts w:asciiTheme="minorHAnsi" w:hAnsiTheme="minorHAnsi" w:cstheme="minorHAnsi"/>
        </w:rPr>
        <w:t xml:space="preserve"> K, </w:t>
      </w:r>
      <w:proofErr w:type="spellStart"/>
      <w:r w:rsidRPr="00180F7D">
        <w:rPr>
          <w:rFonts w:asciiTheme="minorHAnsi" w:hAnsiTheme="minorHAnsi" w:cstheme="minorHAnsi"/>
        </w:rPr>
        <w:t>Troke</w:t>
      </w:r>
      <w:proofErr w:type="spellEnd"/>
      <w:r w:rsidRPr="00180F7D">
        <w:rPr>
          <w:rFonts w:asciiTheme="minorHAnsi" w:hAnsiTheme="minorHAnsi" w:cstheme="minorHAnsi"/>
        </w:rPr>
        <w:t xml:space="preserve"> P, Wood N. Investigation of the potential relationships between plasma voriconazole concentrations and visual adverse events or liver function test abnormalities. Journal of Clinical Pharmacology 2006; 46(2): 235-43.</w:t>
      </w:r>
    </w:p>
    <w:p w14:paraId="29CB327F" w14:textId="77777777" w:rsidR="003B50C5" w:rsidRPr="00180F7D" w:rsidRDefault="003B50C5" w:rsidP="003B50C5">
      <w:pPr>
        <w:rPr>
          <w:rFonts w:asciiTheme="minorHAnsi" w:hAnsiTheme="minorHAnsi" w:cstheme="minorHAnsi"/>
        </w:rPr>
      </w:pPr>
      <w:r w:rsidRPr="00180F7D">
        <w:rPr>
          <w:rFonts w:asciiTheme="minorHAnsi" w:hAnsiTheme="minorHAnsi" w:cstheme="minorHAnsi"/>
        </w:rPr>
        <w:t>12.</w:t>
      </w:r>
      <w:r w:rsidRPr="00180F7D">
        <w:rPr>
          <w:rFonts w:asciiTheme="minorHAnsi" w:hAnsiTheme="minorHAnsi" w:cstheme="minorHAnsi"/>
        </w:rPr>
        <w:tab/>
        <w:t xml:space="preserve">Pascual A, Calandra T, </w:t>
      </w:r>
      <w:proofErr w:type="spellStart"/>
      <w:r w:rsidRPr="00180F7D">
        <w:rPr>
          <w:rFonts w:asciiTheme="minorHAnsi" w:hAnsiTheme="minorHAnsi" w:cstheme="minorHAnsi"/>
        </w:rPr>
        <w:t>Bolay</w:t>
      </w:r>
      <w:proofErr w:type="spellEnd"/>
      <w:r w:rsidRPr="00180F7D">
        <w:rPr>
          <w:rFonts w:asciiTheme="minorHAnsi" w:hAnsiTheme="minorHAnsi" w:cstheme="minorHAnsi"/>
        </w:rPr>
        <w:t xml:space="preserve"> S, </w:t>
      </w:r>
      <w:proofErr w:type="spellStart"/>
      <w:r w:rsidRPr="00180F7D">
        <w:rPr>
          <w:rFonts w:asciiTheme="minorHAnsi" w:hAnsiTheme="minorHAnsi" w:cstheme="minorHAnsi"/>
        </w:rPr>
        <w:t>Buclin</w:t>
      </w:r>
      <w:proofErr w:type="spellEnd"/>
      <w:r w:rsidRPr="00180F7D">
        <w:rPr>
          <w:rFonts w:asciiTheme="minorHAnsi" w:hAnsiTheme="minorHAnsi" w:cstheme="minorHAnsi"/>
        </w:rPr>
        <w:t xml:space="preserve"> T, </w:t>
      </w:r>
      <w:proofErr w:type="spellStart"/>
      <w:r w:rsidRPr="00180F7D">
        <w:rPr>
          <w:rFonts w:asciiTheme="minorHAnsi" w:hAnsiTheme="minorHAnsi" w:cstheme="minorHAnsi"/>
        </w:rPr>
        <w:t>Bille</w:t>
      </w:r>
      <w:proofErr w:type="spellEnd"/>
      <w:r w:rsidRPr="00180F7D">
        <w:rPr>
          <w:rFonts w:asciiTheme="minorHAnsi" w:hAnsiTheme="minorHAnsi" w:cstheme="minorHAnsi"/>
        </w:rPr>
        <w:t xml:space="preserve"> J, Marchetti O. Voriconazole therapeutic drug monitoring in patients with invasive mycoses improves efficacy and safety outcomes. Clin Infect Dis 2008; 46(2): 201-11.</w:t>
      </w:r>
    </w:p>
    <w:p w14:paraId="735D0D8C" w14:textId="77777777" w:rsidR="003B50C5" w:rsidRPr="00180F7D" w:rsidRDefault="003B50C5" w:rsidP="003B50C5">
      <w:pPr>
        <w:rPr>
          <w:rFonts w:asciiTheme="minorHAnsi" w:hAnsiTheme="minorHAnsi" w:cstheme="minorHAnsi"/>
        </w:rPr>
      </w:pPr>
      <w:r w:rsidRPr="00180F7D">
        <w:rPr>
          <w:rFonts w:asciiTheme="minorHAnsi" w:hAnsiTheme="minorHAnsi" w:cstheme="minorHAnsi"/>
        </w:rPr>
        <w:t>13.</w:t>
      </w:r>
      <w:r w:rsidRPr="00180F7D">
        <w:rPr>
          <w:rFonts w:asciiTheme="minorHAnsi" w:hAnsiTheme="minorHAnsi" w:cstheme="minorHAnsi"/>
        </w:rPr>
        <w:tab/>
        <w:t>Scott LJ, Simpson D. Voriconazole : a review of its use in the management of invasive fungal infections. Drugs 2007; 67(2): 269-98.</w:t>
      </w:r>
    </w:p>
    <w:p w14:paraId="53DDA4C7" w14:textId="77777777" w:rsidR="003B50C5" w:rsidRPr="003B50C5" w:rsidRDefault="003B50C5" w:rsidP="003B50C5">
      <w:pPr>
        <w:rPr>
          <w:rFonts w:asciiTheme="minorHAnsi" w:hAnsiTheme="minorHAnsi" w:cstheme="minorHAnsi"/>
          <w:lang w:val="nl-NL"/>
        </w:rPr>
      </w:pPr>
      <w:r w:rsidRPr="00180F7D">
        <w:rPr>
          <w:rFonts w:asciiTheme="minorHAnsi" w:hAnsiTheme="minorHAnsi" w:cstheme="minorHAnsi"/>
        </w:rPr>
        <w:t>14.</w:t>
      </w:r>
      <w:r w:rsidRPr="00180F7D">
        <w:rPr>
          <w:rFonts w:asciiTheme="minorHAnsi" w:hAnsiTheme="minorHAnsi" w:cstheme="minorHAnsi"/>
        </w:rPr>
        <w:tab/>
      </w:r>
      <w:proofErr w:type="spellStart"/>
      <w:r w:rsidRPr="00180F7D">
        <w:rPr>
          <w:rFonts w:asciiTheme="minorHAnsi" w:hAnsiTheme="minorHAnsi" w:cstheme="minorHAnsi"/>
        </w:rPr>
        <w:t>Jendoubi</w:t>
      </w:r>
      <w:proofErr w:type="spellEnd"/>
      <w:r w:rsidRPr="00180F7D">
        <w:rPr>
          <w:rFonts w:asciiTheme="minorHAnsi" w:hAnsiTheme="minorHAnsi" w:cstheme="minorHAnsi"/>
        </w:rPr>
        <w:t xml:space="preserve"> A, </w:t>
      </w:r>
      <w:proofErr w:type="spellStart"/>
      <w:r w:rsidRPr="00180F7D">
        <w:rPr>
          <w:rFonts w:asciiTheme="minorHAnsi" w:hAnsiTheme="minorHAnsi" w:cstheme="minorHAnsi"/>
        </w:rPr>
        <w:t>Pressiat</w:t>
      </w:r>
      <w:proofErr w:type="spellEnd"/>
      <w:r w:rsidRPr="00180F7D">
        <w:rPr>
          <w:rFonts w:asciiTheme="minorHAnsi" w:hAnsiTheme="minorHAnsi" w:cstheme="minorHAnsi"/>
        </w:rPr>
        <w:t xml:space="preserve"> C, De Roux Q, et al. The impact of extracorporeal membrane oxygenation on antifungal pharmacokinetics: A systematic review. </w:t>
      </w:r>
      <w:r w:rsidRPr="003B50C5">
        <w:rPr>
          <w:rFonts w:asciiTheme="minorHAnsi" w:hAnsiTheme="minorHAnsi" w:cstheme="minorHAnsi"/>
          <w:lang w:val="nl-NL"/>
        </w:rPr>
        <w:t xml:space="preserve">Int J </w:t>
      </w:r>
      <w:proofErr w:type="spellStart"/>
      <w:r w:rsidRPr="003B50C5">
        <w:rPr>
          <w:rFonts w:asciiTheme="minorHAnsi" w:hAnsiTheme="minorHAnsi" w:cstheme="minorHAnsi"/>
          <w:lang w:val="nl-NL"/>
        </w:rPr>
        <w:t>Antimicrob</w:t>
      </w:r>
      <w:proofErr w:type="spellEnd"/>
      <w:r w:rsidRPr="003B50C5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3B50C5">
        <w:rPr>
          <w:rFonts w:asciiTheme="minorHAnsi" w:hAnsiTheme="minorHAnsi" w:cstheme="minorHAnsi"/>
          <w:lang w:val="nl-NL"/>
        </w:rPr>
        <w:t>Agents</w:t>
      </w:r>
      <w:proofErr w:type="spellEnd"/>
      <w:r w:rsidRPr="003B50C5">
        <w:rPr>
          <w:rFonts w:asciiTheme="minorHAnsi" w:hAnsiTheme="minorHAnsi" w:cstheme="minorHAnsi"/>
          <w:lang w:val="nl-NL"/>
        </w:rPr>
        <w:t xml:space="preserve"> 2024; 63(2): 107078.</w:t>
      </w:r>
    </w:p>
    <w:p w14:paraId="790735F0" w14:textId="77777777" w:rsidR="003B50C5" w:rsidRPr="00AF28FE" w:rsidRDefault="003B50C5" w:rsidP="003B50C5">
      <w:pPr>
        <w:rPr>
          <w:rFonts w:asciiTheme="minorHAnsi" w:hAnsiTheme="minorHAnsi" w:cstheme="minorHAnsi"/>
        </w:rPr>
      </w:pPr>
      <w:r w:rsidRPr="003B50C5">
        <w:rPr>
          <w:rFonts w:asciiTheme="minorHAnsi" w:hAnsiTheme="minorHAnsi" w:cstheme="minorHAnsi"/>
          <w:lang w:val="nl-NL"/>
        </w:rPr>
        <w:t>15.</w:t>
      </w:r>
      <w:r w:rsidRPr="003B50C5">
        <w:rPr>
          <w:rFonts w:asciiTheme="minorHAnsi" w:hAnsiTheme="minorHAnsi" w:cstheme="minorHAnsi"/>
          <w:lang w:val="nl-NL"/>
        </w:rPr>
        <w:tab/>
      </w:r>
      <w:proofErr w:type="spellStart"/>
      <w:r w:rsidRPr="003B50C5">
        <w:rPr>
          <w:rFonts w:asciiTheme="minorHAnsi" w:hAnsiTheme="minorHAnsi" w:cstheme="minorHAnsi"/>
          <w:lang w:val="nl-NL"/>
        </w:rPr>
        <w:t>Hinze</w:t>
      </w:r>
      <w:proofErr w:type="spellEnd"/>
      <w:r w:rsidRPr="003B50C5">
        <w:rPr>
          <w:rFonts w:asciiTheme="minorHAnsi" w:hAnsiTheme="minorHAnsi" w:cstheme="minorHAnsi"/>
          <w:lang w:val="nl-NL"/>
        </w:rPr>
        <w:t xml:space="preserve"> CA, </w:t>
      </w:r>
      <w:proofErr w:type="spellStart"/>
      <w:r w:rsidRPr="003B50C5">
        <w:rPr>
          <w:rFonts w:asciiTheme="minorHAnsi" w:hAnsiTheme="minorHAnsi" w:cstheme="minorHAnsi"/>
          <w:lang w:val="nl-NL"/>
        </w:rPr>
        <w:t>Fuge</w:t>
      </w:r>
      <w:proofErr w:type="spellEnd"/>
      <w:r w:rsidRPr="003B50C5">
        <w:rPr>
          <w:rFonts w:asciiTheme="minorHAnsi" w:hAnsiTheme="minorHAnsi" w:cstheme="minorHAnsi"/>
          <w:lang w:val="nl-NL"/>
        </w:rPr>
        <w:t xml:space="preserve"> J, Grote-</w:t>
      </w:r>
      <w:proofErr w:type="spellStart"/>
      <w:r w:rsidRPr="003B50C5">
        <w:rPr>
          <w:rFonts w:asciiTheme="minorHAnsi" w:hAnsiTheme="minorHAnsi" w:cstheme="minorHAnsi"/>
          <w:lang w:val="nl-NL"/>
        </w:rPr>
        <w:t>Koska</w:t>
      </w:r>
      <w:proofErr w:type="spellEnd"/>
      <w:r w:rsidRPr="003B50C5">
        <w:rPr>
          <w:rFonts w:asciiTheme="minorHAnsi" w:hAnsiTheme="minorHAnsi" w:cstheme="minorHAnsi"/>
          <w:lang w:val="nl-NL"/>
        </w:rPr>
        <w:t xml:space="preserve"> D, et al. </w:t>
      </w:r>
      <w:r w:rsidRPr="00AF28FE">
        <w:rPr>
          <w:rFonts w:asciiTheme="minorHAnsi" w:hAnsiTheme="minorHAnsi" w:cstheme="minorHAnsi"/>
        </w:rPr>
        <w:t xml:space="preserve">Factors influencing voriconazole plasma level in intensive care patients. JAC </w:t>
      </w:r>
      <w:proofErr w:type="spellStart"/>
      <w:r w:rsidRPr="00AF28FE">
        <w:rPr>
          <w:rFonts w:asciiTheme="minorHAnsi" w:hAnsiTheme="minorHAnsi" w:cstheme="minorHAnsi"/>
        </w:rPr>
        <w:t>Antimicrob</w:t>
      </w:r>
      <w:proofErr w:type="spellEnd"/>
      <w:r w:rsidRPr="00AF28FE">
        <w:rPr>
          <w:rFonts w:asciiTheme="minorHAnsi" w:hAnsiTheme="minorHAnsi" w:cstheme="minorHAnsi"/>
        </w:rPr>
        <w:t xml:space="preserve"> Resist 2024; 6(2): dlae045.</w:t>
      </w:r>
    </w:p>
    <w:p w14:paraId="24AD3B9D" w14:textId="77777777" w:rsidR="003B50C5" w:rsidRPr="003B50C5" w:rsidRDefault="003B50C5" w:rsidP="003B50C5">
      <w:pPr>
        <w:rPr>
          <w:rFonts w:asciiTheme="minorHAnsi" w:hAnsiTheme="minorHAnsi" w:cstheme="minorHAnsi"/>
          <w:lang w:val="nl-NL"/>
        </w:rPr>
      </w:pPr>
      <w:r w:rsidRPr="00AF28FE">
        <w:rPr>
          <w:rFonts w:asciiTheme="minorHAnsi" w:hAnsiTheme="minorHAnsi" w:cstheme="minorHAnsi"/>
        </w:rPr>
        <w:t>16.</w:t>
      </w:r>
      <w:r w:rsidRPr="00AF28FE">
        <w:rPr>
          <w:rFonts w:asciiTheme="minorHAnsi" w:hAnsiTheme="minorHAnsi" w:cstheme="minorHAnsi"/>
        </w:rPr>
        <w:tab/>
        <w:t xml:space="preserve">Ye Q, Yu X, Chen W, et al. Impact of extracorporeal membrane oxygenation on voriconazole plasma concentrations: A retrospective study. </w:t>
      </w:r>
      <w:r w:rsidRPr="003B50C5">
        <w:rPr>
          <w:rFonts w:asciiTheme="minorHAnsi" w:hAnsiTheme="minorHAnsi" w:cstheme="minorHAnsi"/>
          <w:lang w:val="nl-NL"/>
        </w:rPr>
        <w:t xml:space="preserve">Front </w:t>
      </w:r>
      <w:proofErr w:type="spellStart"/>
      <w:r w:rsidRPr="003B50C5">
        <w:rPr>
          <w:rFonts w:asciiTheme="minorHAnsi" w:hAnsiTheme="minorHAnsi" w:cstheme="minorHAnsi"/>
          <w:lang w:val="nl-NL"/>
        </w:rPr>
        <w:t>Pharmacol</w:t>
      </w:r>
      <w:proofErr w:type="spellEnd"/>
      <w:r w:rsidRPr="003B50C5">
        <w:rPr>
          <w:rFonts w:asciiTheme="minorHAnsi" w:hAnsiTheme="minorHAnsi" w:cstheme="minorHAnsi"/>
          <w:lang w:val="nl-NL"/>
        </w:rPr>
        <w:t xml:space="preserve"> 2022; 13: 972585.</w:t>
      </w:r>
    </w:p>
    <w:p w14:paraId="24D4C097" w14:textId="77777777" w:rsidR="003B50C5" w:rsidRPr="00AF28FE" w:rsidRDefault="003B50C5" w:rsidP="003B50C5">
      <w:pPr>
        <w:rPr>
          <w:rFonts w:asciiTheme="minorHAnsi" w:hAnsiTheme="minorHAnsi" w:cstheme="minorHAnsi"/>
        </w:rPr>
      </w:pPr>
      <w:r w:rsidRPr="003B50C5">
        <w:rPr>
          <w:rFonts w:asciiTheme="minorHAnsi" w:hAnsiTheme="minorHAnsi" w:cstheme="minorHAnsi"/>
          <w:lang w:val="nl-NL"/>
        </w:rPr>
        <w:t>17.</w:t>
      </w:r>
      <w:r w:rsidRPr="003B50C5">
        <w:rPr>
          <w:rFonts w:asciiTheme="minorHAnsi" w:hAnsiTheme="minorHAnsi" w:cstheme="minorHAnsi"/>
          <w:lang w:val="nl-NL"/>
        </w:rPr>
        <w:tab/>
        <w:t xml:space="preserve">Van Daele R, Bekkers B, </w:t>
      </w:r>
      <w:proofErr w:type="spellStart"/>
      <w:r w:rsidRPr="003B50C5">
        <w:rPr>
          <w:rFonts w:asciiTheme="minorHAnsi" w:hAnsiTheme="minorHAnsi" w:cstheme="minorHAnsi"/>
          <w:lang w:val="nl-NL"/>
        </w:rPr>
        <w:t>Lindfors</w:t>
      </w:r>
      <w:proofErr w:type="spellEnd"/>
      <w:r w:rsidRPr="003B50C5">
        <w:rPr>
          <w:rFonts w:asciiTheme="minorHAnsi" w:hAnsiTheme="minorHAnsi" w:cstheme="minorHAnsi"/>
          <w:lang w:val="nl-NL"/>
        </w:rPr>
        <w:t xml:space="preserve"> M, et al. </w:t>
      </w:r>
      <w:r w:rsidRPr="00AF28FE">
        <w:rPr>
          <w:rFonts w:asciiTheme="minorHAnsi" w:hAnsiTheme="minorHAnsi" w:cstheme="minorHAnsi"/>
        </w:rPr>
        <w:t>A Large Retrospective Assessment of Voriconazole Exposure in Patients Treated with Extracorporeal Membrane Oxygenation. Microorganisms 2021; 9(7).</w:t>
      </w:r>
    </w:p>
    <w:p w14:paraId="10ED306F" w14:textId="77777777" w:rsidR="003B50C5" w:rsidRPr="003B50C5" w:rsidRDefault="003B50C5" w:rsidP="003B50C5">
      <w:pPr>
        <w:rPr>
          <w:rFonts w:asciiTheme="minorHAnsi" w:hAnsiTheme="minorHAnsi" w:cstheme="minorHAnsi"/>
          <w:lang w:val="nl-NL"/>
        </w:rPr>
      </w:pPr>
      <w:r w:rsidRPr="00AF28FE">
        <w:rPr>
          <w:rFonts w:asciiTheme="minorHAnsi" w:hAnsiTheme="minorHAnsi" w:cstheme="minorHAnsi"/>
        </w:rPr>
        <w:t>18.</w:t>
      </w:r>
      <w:r w:rsidRPr="00AF28FE">
        <w:rPr>
          <w:rFonts w:asciiTheme="minorHAnsi" w:hAnsiTheme="minorHAnsi" w:cstheme="minorHAnsi"/>
        </w:rPr>
        <w:tab/>
      </w:r>
      <w:proofErr w:type="spellStart"/>
      <w:r w:rsidRPr="00AF28FE">
        <w:rPr>
          <w:rFonts w:asciiTheme="minorHAnsi" w:hAnsiTheme="minorHAnsi" w:cstheme="minorHAnsi"/>
        </w:rPr>
        <w:t>Spriet</w:t>
      </w:r>
      <w:proofErr w:type="spellEnd"/>
      <w:r w:rsidRPr="00AF28FE">
        <w:rPr>
          <w:rFonts w:asciiTheme="minorHAnsi" w:hAnsiTheme="minorHAnsi" w:cstheme="minorHAnsi"/>
        </w:rPr>
        <w:t xml:space="preserve"> I, </w:t>
      </w:r>
      <w:proofErr w:type="spellStart"/>
      <w:r w:rsidRPr="00AF28FE">
        <w:rPr>
          <w:rFonts w:asciiTheme="minorHAnsi" w:hAnsiTheme="minorHAnsi" w:cstheme="minorHAnsi"/>
        </w:rPr>
        <w:t>Annaert</w:t>
      </w:r>
      <w:proofErr w:type="spellEnd"/>
      <w:r w:rsidRPr="00AF28FE">
        <w:rPr>
          <w:rFonts w:asciiTheme="minorHAnsi" w:hAnsiTheme="minorHAnsi" w:cstheme="minorHAnsi"/>
        </w:rPr>
        <w:t xml:space="preserve"> P, </w:t>
      </w:r>
      <w:proofErr w:type="spellStart"/>
      <w:r w:rsidRPr="00AF28FE">
        <w:rPr>
          <w:rFonts w:asciiTheme="minorHAnsi" w:hAnsiTheme="minorHAnsi" w:cstheme="minorHAnsi"/>
        </w:rPr>
        <w:t>Meersseman</w:t>
      </w:r>
      <w:proofErr w:type="spellEnd"/>
      <w:r w:rsidRPr="00AF28FE">
        <w:rPr>
          <w:rFonts w:asciiTheme="minorHAnsi" w:hAnsiTheme="minorHAnsi" w:cstheme="minorHAnsi"/>
        </w:rPr>
        <w:t xml:space="preserve"> P, et al. Pharmacokinetics of </w:t>
      </w:r>
      <w:proofErr w:type="spellStart"/>
      <w:r w:rsidRPr="00AF28FE">
        <w:rPr>
          <w:rFonts w:asciiTheme="minorHAnsi" w:hAnsiTheme="minorHAnsi" w:cstheme="minorHAnsi"/>
        </w:rPr>
        <w:t>caspofungin</w:t>
      </w:r>
      <w:proofErr w:type="spellEnd"/>
      <w:r w:rsidRPr="00AF28FE">
        <w:rPr>
          <w:rFonts w:asciiTheme="minorHAnsi" w:hAnsiTheme="minorHAnsi" w:cstheme="minorHAnsi"/>
        </w:rPr>
        <w:t xml:space="preserve"> and voriconazole in critically ill patients during extracorporeal membrane oxygenation. </w:t>
      </w:r>
      <w:r w:rsidRPr="003B50C5">
        <w:rPr>
          <w:rFonts w:asciiTheme="minorHAnsi" w:hAnsiTheme="minorHAnsi" w:cstheme="minorHAnsi"/>
          <w:lang w:val="nl-NL"/>
        </w:rPr>
        <w:t xml:space="preserve">J </w:t>
      </w:r>
      <w:proofErr w:type="spellStart"/>
      <w:r w:rsidRPr="003B50C5">
        <w:rPr>
          <w:rFonts w:asciiTheme="minorHAnsi" w:hAnsiTheme="minorHAnsi" w:cstheme="minorHAnsi"/>
          <w:lang w:val="nl-NL"/>
        </w:rPr>
        <w:t>Antimicrob</w:t>
      </w:r>
      <w:proofErr w:type="spellEnd"/>
      <w:r w:rsidRPr="003B50C5">
        <w:rPr>
          <w:rFonts w:asciiTheme="minorHAnsi" w:hAnsiTheme="minorHAnsi" w:cstheme="minorHAnsi"/>
          <w:lang w:val="nl-NL"/>
        </w:rPr>
        <w:t xml:space="preserve"> </w:t>
      </w:r>
      <w:proofErr w:type="spellStart"/>
      <w:r w:rsidRPr="003B50C5">
        <w:rPr>
          <w:rFonts w:asciiTheme="minorHAnsi" w:hAnsiTheme="minorHAnsi" w:cstheme="minorHAnsi"/>
          <w:lang w:val="nl-NL"/>
        </w:rPr>
        <w:t>Chemother</w:t>
      </w:r>
      <w:proofErr w:type="spellEnd"/>
      <w:r w:rsidRPr="003B50C5">
        <w:rPr>
          <w:rFonts w:asciiTheme="minorHAnsi" w:hAnsiTheme="minorHAnsi" w:cstheme="minorHAnsi"/>
          <w:lang w:val="nl-NL"/>
        </w:rPr>
        <w:t xml:space="preserve"> 2009; 63(4): 767-70.</w:t>
      </w:r>
    </w:p>
    <w:p w14:paraId="7667C20D" w14:textId="77777777" w:rsidR="003B50C5" w:rsidRDefault="003B50C5" w:rsidP="002B7186">
      <w:pPr>
        <w:rPr>
          <w:rFonts w:asciiTheme="minorHAnsi" w:hAnsiTheme="minorHAnsi" w:cstheme="minorHAnsi"/>
          <w:lang w:val="nl-NL"/>
        </w:rPr>
      </w:pPr>
    </w:p>
    <w:p w14:paraId="058C619D" w14:textId="77777777" w:rsidR="003B50C5" w:rsidRPr="00322E86" w:rsidRDefault="003B50C5" w:rsidP="002B7186">
      <w:pPr>
        <w:rPr>
          <w:rFonts w:asciiTheme="minorHAnsi" w:hAnsiTheme="minorHAnsi" w:cstheme="minorHAnsi"/>
          <w:lang w:val="nl-NL"/>
        </w:rPr>
      </w:pPr>
    </w:p>
    <w:p w14:paraId="7589854B" w14:textId="77777777" w:rsidR="000B0D73" w:rsidRPr="003B50C5" w:rsidRDefault="00000000">
      <w:pPr>
        <w:rPr>
          <w:rFonts w:asciiTheme="minorHAnsi" w:hAnsiTheme="minorHAnsi" w:cstheme="minorHAnsi"/>
          <w:lang w:val="nl-NL"/>
        </w:rPr>
      </w:pPr>
    </w:p>
    <w:sectPr w:rsidR="000B0D73" w:rsidRPr="003B50C5" w:rsidSect="00A511E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030E4" w14:textId="77777777" w:rsidR="000D149F" w:rsidRDefault="000D149F" w:rsidP="00E06697">
      <w:pPr>
        <w:spacing w:line="240" w:lineRule="auto"/>
      </w:pPr>
      <w:r>
        <w:separator/>
      </w:r>
    </w:p>
  </w:endnote>
  <w:endnote w:type="continuationSeparator" w:id="0">
    <w:p w14:paraId="2A1FCF00" w14:textId="77777777" w:rsidR="000D149F" w:rsidRDefault="000D149F" w:rsidP="00E06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D49B7" w14:textId="41DF2CC5" w:rsidR="00E06697" w:rsidRPr="00E06697" w:rsidRDefault="00E06697">
    <w:pPr>
      <w:pStyle w:val="Voettekst"/>
      <w:rPr>
        <w:rFonts w:asciiTheme="minorHAnsi" w:hAnsiTheme="minorHAnsi" w:cstheme="minorHAnsi"/>
      </w:rPr>
    </w:pPr>
    <w:proofErr w:type="spellStart"/>
    <w:r w:rsidRPr="00E06697">
      <w:rPr>
        <w:rFonts w:asciiTheme="minorHAnsi" w:hAnsiTheme="minorHAnsi" w:cstheme="minorHAnsi"/>
      </w:rPr>
      <w:t>Laatste</w:t>
    </w:r>
    <w:proofErr w:type="spellEnd"/>
    <w:r w:rsidRPr="00E06697">
      <w:rPr>
        <w:rFonts w:asciiTheme="minorHAnsi" w:hAnsiTheme="minorHAnsi" w:cstheme="minorHAnsi"/>
      </w:rPr>
      <w:t xml:space="preserve"> </w:t>
    </w:r>
    <w:proofErr w:type="spellStart"/>
    <w:r w:rsidRPr="00E06697">
      <w:rPr>
        <w:rFonts w:asciiTheme="minorHAnsi" w:hAnsiTheme="minorHAnsi" w:cstheme="minorHAnsi"/>
      </w:rPr>
      <w:t>wijziging</w:t>
    </w:r>
    <w:proofErr w:type="spellEnd"/>
    <w:r w:rsidRPr="00E06697">
      <w:rPr>
        <w:rFonts w:asciiTheme="minorHAnsi" w:hAnsiTheme="minorHAnsi" w:cstheme="minorHAnsi"/>
      </w:rPr>
      <w:t xml:space="preserve"> 14-06-2024</w:t>
    </w:r>
  </w:p>
  <w:p w14:paraId="52BC9EF6" w14:textId="77777777" w:rsidR="00E06697" w:rsidRPr="00E06697" w:rsidRDefault="00E06697">
    <w:pPr>
      <w:pStyle w:val="Voetteks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E0C1D" w14:textId="77777777" w:rsidR="000D149F" w:rsidRDefault="000D149F" w:rsidP="00E06697">
      <w:pPr>
        <w:spacing w:line="240" w:lineRule="auto"/>
      </w:pPr>
      <w:r>
        <w:separator/>
      </w:r>
    </w:p>
  </w:footnote>
  <w:footnote w:type="continuationSeparator" w:id="0">
    <w:p w14:paraId="2D2DAD94" w14:textId="77777777" w:rsidR="000D149F" w:rsidRDefault="000D149F" w:rsidP="00E066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F4F99"/>
    <w:multiLevelType w:val="multilevel"/>
    <w:tmpl w:val="AF5620E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E254EE"/>
    <w:multiLevelType w:val="hybridMultilevel"/>
    <w:tmpl w:val="FA2054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B79B7"/>
    <w:multiLevelType w:val="hybridMultilevel"/>
    <w:tmpl w:val="4844C5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795490">
    <w:abstractNumId w:val="0"/>
  </w:num>
  <w:num w:numId="2" w16cid:durableId="1710378209">
    <w:abstractNumId w:val="1"/>
  </w:num>
  <w:num w:numId="3" w16cid:durableId="290287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3B50C5"/>
    <w:rsid w:val="00062BAD"/>
    <w:rsid w:val="000D149F"/>
    <w:rsid w:val="000E1D20"/>
    <w:rsid w:val="00180F7D"/>
    <w:rsid w:val="001940D7"/>
    <w:rsid w:val="001D6CD8"/>
    <w:rsid w:val="002351A8"/>
    <w:rsid w:val="00242092"/>
    <w:rsid w:val="00242E42"/>
    <w:rsid w:val="002B7137"/>
    <w:rsid w:val="003B1A62"/>
    <w:rsid w:val="003B50C5"/>
    <w:rsid w:val="003E3501"/>
    <w:rsid w:val="00405968"/>
    <w:rsid w:val="00446E30"/>
    <w:rsid w:val="00481369"/>
    <w:rsid w:val="00495412"/>
    <w:rsid w:val="004E1386"/>
    <w:rsid w:val="00506866"/>
    <w:rsid w:val="00531DCC"/>
    <w:rsid w:val="005A671F"/>
    <w:rsid w:val="005C7340"/>
    <w:rsid w:val="006479B2"/>
    <w:rsid w:val="006B7620"/>
    <w:rsid w:val="006E28D8"/>
    <w:rsid w:val="006F6444"/>
    <w:rsid w:val="00735852"/>
    <w:rsid w:val="00755DE5"/>
    <w:rsid w:val="007A3544"/>
    <w:rsid w:val="007B2CC5"/>
    <w:rsid w:val="00881598"/>
    <w:rsid w:val="008F131D"/>
    <w:rsid w:val="00A511E3"/>
    <w:rsid w:val="00AC7C40"/>
    <w:rsid w:val="00AF28FE"/>
    <w:rsid w:val="00AF6423"/>
    <w:rsid w:val="00B20839"/>
    <w:rsid w:val="00B40D61"/>
    <w:rsid w:val="00B50D73"/>
    <w:rsid w:val="00B60EBE"/>
    <w:rsid w:val="00BA1072"/>
    <w:rsid w:val="00C256DA"/>
    <w:rsid w:val="00C30D98"/>
    <w:rsid w:val="00C46A6E"/>
    <w:rsid w:val="00CC438C"/>
    <w:rsid w:val="00CE77FA"/>
    <w:rsid w:val="00D46BBF"/>
    <w:rsid w:val="00D62E4A"/>
    <w:rsid w:val="00D74B11"/>
    <w:rsid w:val="00DA4AEC"/>
    <w:rsid w:val="00DB3598"/>
    <w:rsid w:val="00DB7714"/>
    <w:rsid w:val="00DC7845"/>
    <w:rsid w:val="00DE44D2"/>
    <w:rsid w:val="00E06697"/>
    <w:rsid w:val="00E757D6"/>
    <w:rsid w:val="00E86F0C"/>
    <w:rsid w:val="00EB20C6"/>
    <w:rsid w:val="00EE4687"/>
    <w:rsid w:val="00EE53D2"/>
    <w:rsid w:val="00F65025"/>
    <w:rsid w:val="00F71E32"/>
    <w:rsid w:val="00F77A8A"/>
    <w:rsid w:val="00F9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0FD6"/>
  <w15:chartTrackingRefBased/>
  <w15:docId w15:val="{AD17C6ED-3EE1-474C-9328-7A6CB923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50C5"/>
    <w:pPr>
      <w:spacing w:line="276" w:lineRule="auto"/>
    </w:pPr>
    <w:rPr>
      <w:rFonts w:ascii="Times New Roman" w:hAnsi="Times New Roman" w:cstheme="minorBidi"/>
      <w:sz w:val="22"/>
      <w:szCs w:val="22"/>
      <w:lang w:val="en-US"/>
    </w:rPr>
  </w:style>
  <w:style w:type="paragraph" w:styleId="Kop1">
    <w:name w:val="heading 1"/>
    <w:link w:val="Kop1Char"/>
    <w:uiPriority w:val="9"/>
    <w:qFormat/>
    <w:rsid w:val="003B50C5"/>
    <w:pPr>
      <w:keepNext/>
      <w:keepLines/>
      <w:widowControl w:val="0"/>
      <w:spacing w:line="360" w:lineRule="auto"/>
      <w:outlineLvl w:val="0"/>
    </w:pPr>
    <w:rPr>
      <w:rFonts w:ascii="Times New Roman" w:hAnsi="Times New Roman"/>
      <w:b/>
      <w:kern w:val="28"/>
      <w:sz w:val="32"/>
      <w:lang w:val="x-none" w:eastAsia="fr-FR"/>
    </w:rPr>
  </w:style>
  <w:style w:type="paragraph" w:styleId="Kop2">
    <w:name w:val="heading 2"/>
    <w:next w:val="Standaard"/>
    <w:link w:val="Kop2Char"/>
    <w:uiPriority w:val="9"/>
    <w:unhideWhenUsed/>
    <w:qFormat/>
    <w:rsid w:val="003B50C5"/>
    <w:pPr>
      <w:keepNext/>
      <w:keepLines/>
      <w:spacing w:line="360" w:lineRule="auto"/>
      <w:outlineLvl w:val="1"/>
    </w:pPr>
    <w:rPr>
      <w:rFonts w:ascii="Times New Roman" w:eastAsiaTheme="majorEastAsia" w:hAnsi="Times New Roman" w:cstheme="majorBidi"/>
      <w:b/>
      <w:sz w:val="22"/>
      <w:szCs w:val="26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B50C5"/>
    <w:pPr>
      <w:keepNext/>
      <w:keepLines/>
      <w:spacing w:line="360" w:lineRule="auto"/>
      <w:outlineLvl w:val="2"/>
    </w:pPr>
    <w:rPr>
      <w:rFonts w:eastAsiaTheme="majorEastAsia" w:cstheme="majorBidi"/>
      <w:szCs w:val="24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3B50C5"/>
    <w:rPr>
      <w:rFonts w:ascii="Times New Roman" w:hAnsi="Times New Roman"/>
      <w:b/>
      <w:kern w:val="28"/>
      <w:sz w:val="32"/>
      <w:lang w:val="x-none" w:eastAsia="fr-FR"/>
    </w:rPr>
  </w:style>
  <w:style w:type="character" w:customStyle="1" w:styleId="Kop2Char">
    <w:name w:val="Kop 2 Char"/>
    <w:basedOn w:val="Standaardalinea-lettertype"/>
    <w:link w:val="Kop2"/>
    <w:uiPriority w:val="9"/>
    <w:rsid w:val="003B50C5"/>
    <w:rPr>
      <w:rFonts w:ascii="Times New Roman" w:eastAsiaTheme="majorEastAsia" w:hAnsi="Times New Roman" w:cstheme="majorBidi"/>
      <w:b/>
      <w:sz w:val="22"/>
      <w:szCs w:val="2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3B50C5"/>
    <w:rPr>
      <w:rFonts w:ascii="Times New Roman" w:eastAsiaTheme="majorEastAsia" w:hAnsi="Times New Roman" w:cstheme="majorBidi"/>
      <w:sz w:val="22"/>
      <w:szCs w:val="24"/>
      <w:u w:val="single"/>
      <w:lang w:val="en-US"/>
    </w:rPr>
  </w:style>
  <w:style w:type="paragraph" w:styleId="Geenafstand">
    <w:name w:val="No Spacing"/>
    <w:aliases w:val="Captions"/>
    <w:uiPriority w:val="1"/>
    <w:qFormat/>
    <w:rsid w:val="003B50C5"/>
    <w:rPr>
      <w:rFonts w:ascii="Times New Roman" w:eastAsia="Calibri" w:hAnsi="Times New Roman"/>
      <w:i/>
      <w:sz w:val="22"/>
      <w:lang w:val="en-US"/>
    </w:rPr>
  </w:style>
  <w:style w:type="paragraph" w:customStyle="1" w:styleId="Default">
    <w:name w:val="Default"/>
    <w:rsid w:val="003B50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3B50C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50C5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Standaard"/>
    <w:link w:val="EndNoteBibliographyTitleChar"/>
    <w:rsid w:val="003B50C5"/>
    <w:pPr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3B50C5"/>
    <w:rPr>
      <w:rFonts w:ascii="Times New Roman" w:hAnsi="Times New Roman"/>
      <w:noProof/>
      <w:sz w:val="22"/>
      <w:szCs w:val="22"/>
      <w:lang w:val="en-US"/>
    </w:rPr>
  </w:style>
  <w:style w:type="paragraph" w:customStyle="1" w:styleId="EndNoteBibliography">
    <w:name w:val="EndNote Bibliography"/>
    <w:basedOn w:val="Standaard"/>
    <w:link w:val="EndNoteBibliographyChar"/>
    <w:rsid w:val="003B50C5"/>
    <w:pPr>
      <w:spacing w:line="240" w:lineRule="auto"/>
    </w:pPr>
    <w:rPr>
      <w:rFonts w:cs="Times New Roman"/>
      <w:noProof/>
    </w:rPr>
  </w:style>
  <w:style w:type="character" w:customStyle="1" w:styleId="EndNoteBibliographyChar">
    <w:name w:val="EndNote Bibliography Char"/>
    <w:basedOn w:val="Standaardalinea-lettertype"/>
    <w:link w:val="EndNoteBibliography"/>
    <w:rsid w:val="003B50C5"/>
    <w:rPr>
      <w:rFonts w:ascii="Times New Roman" w:hAnsi="Times New Roman"/>
      <w:noProof/>
      <w:sz w:val="22"/>
      <w:szCs w:val="22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B50C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B50C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B50C5"/>
    <w:rPr>
      <w:rFonts w:ascii="Times New Roman" w:hAnsi="Times New Roman" w:cstheme="minorBidi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B50C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B50C5"/>
    <w:rPr>
      <w:rFonts w:ascii="Times New Roman" w:hAnsi="Times New Roman" w:cstheme="minorBidi"/>
      <w:b/>
      <w:bCs/>
      <w:lang w:val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B50C5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3B50C5"/>
    <w:rPr>
      <w:rFonts w:ascii="Times New Roman" w:hAnsi="Times New Roman" w:cstheme="minorBidi"/>
      <w:sz w:val="22"/>
      <w:szCs w:val="22"/>
      <w:lang w:val="en-US"/>
    </w:rPr>
  </w:style>
  <w:style w:type="paragraph" w:styleId="Lijstalinea">
    <w:name w:val="List Paragraph"/>
    <w:basedOn w:val="Standaard"/>
    <w:uiPriority w:val="34"/>
    <w:qFormat/>
    <w:rsid w:val="003B50C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06697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06697"/>
    <w:rPr>
      <w:rFonts w:ascii="Times New Roman" w:hAnsi="Times New Roman" w:cstheme="minorBidi"/>
      <w:sz w:val="22"/>
      <w:szCs w:val="22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E06697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06697"/>
    <w:rPr>
      <w:rFonts w:ascii="Times New Roman" w:hAnsi="Times New Roman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b.nl/exec/file/download/86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dm-monografie.org/monografie/voriconazol" TargetMode="External"/><Relationship Id="rId12" Type="http://schemas.openxmlformats.org/officeDocument/2006/relationships/hyperlink" Target="https://kennisbank.knmp.nl/article/Informatorium_Medicamentorum/S282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inderformularium.nl/geneesmiddel/96/voriconazo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adboudumc.adult.nl.antibiotica.app/nl/node/21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dboudumc.getincontrol.eu/bepalingen/detail/f97bfd35-0691-46ea-ab7c-844032ce06c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1465</Words>
  <Characters>8063</Characters>
  <Application>Microsoft Office Word</Application>
  <DocSecurity>0</DocSecurity>
  <Lines>67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Wijer, Lisa van de</dc:creator>
  <cp:keywords/>
  <dc:description/>
  <cp:lastModifiedBy>Jager, Nynke</cp:lastModifiedBy>
  <cp:revision>6</cp:revision>
  <dcterms:created xsi:type="dcterms:W3CDTF">2024-06-14T16:45:00Z</dcterms:created>
  <dcterms:modified xsi:type="dcterms:W3CDTF">2024-06-14T16:47:00Z</dcterms:modified>
</cp:coreProperties>
</file>